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jpg" ContentType="image/jpeg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b9c00fcef74139" /></Relationships>
</file>

<file path=word/document.xml><?xml version="1.0" encoding="utf-8"?>
<w:document xmlns:w="http://schemas.openxmlformats.org/wordprocessingml/2006/main">
  <w:body>
    <w:p>
      <w:pPr>
        <w:pStyle w:val="DocumentTitle"/>
        <w:outlineLvl w:val="0"/>
      </w:pPr>
      <w:r>
        <w:rPr>
          <w:lang w:val="en-US"/>
        </w:rPr>
        <w:t xml:space="preserve">Website showcase — Quill Field Service Operations Guide</w:t>
      </w:r>
    </w:p>
    <w:p>
      <w:pPr>
        <w:pStyle w:val="Normal"/>
        <w:spacing w:line="276" w:lineRule="auto"/>
      </w:pPr>
      <w:r>
        <w:rPr>
          <w:lang w:val="en-US"/>
        </w:rPr>
        <w:t xml:space="preserve">This fictional operating guide defines quarterly preventive maintenance and dispatch handoff standards for Northwind Field Operations (fictional sample organization).</w:t>
      </w:r>
    </w:p>
    <w:p>
      <w:pPr>
        <w:pStyle w:val="Heading2"/>
        <w:outlineLvl w:val="1"/>
      </w:pPr>
      <w:r>
        <w:rPr>
          <w:lang w:val="en-US"/>
        </w:rPr>
        <w:t xml:space="preserve">1. Regional Dispatch Service-Level Targets</w:t>
      </w:r>
    </w:p>
    <w:p>
      <w:pPr>
        <w:pStyle w:val="Normal"/>
        <w:spacing w:line="276" w:lineRule="auto"/>
      </w:pPr>
      <w:r>
        <w:rPr>
          <w:lang w:val="en-US"/>
        </w:rPr>
        <w:t xml:space="preserve">Regional coordinators review route exceptions every morning before dispatching field technicians. </w:t>
      </w:r>
      <w:r>
        <w:rPr>
          <w:lang w:val="en-US"/>
        </w:rPr>
        <w:t xml:space="preserve"> </w:t>
      </w:r>
      <w:r>
        <w:drawing>
          <wp:inline xmlns:wp="http://schemas.openxmlformats.org/drawingml/2006/wordprocessingDrawing" distT="0" distB="0" distL="0" distR="0">
            <wp:extent cx="5731510" cy="3821007"/>
            <wp:effectExtent l="0" t="0" r="0" b="0"/>
            <wp:docPr id="1" name="Picture 2" descr="A clean technical illustration of a field technician inspecting a commercial rooftop HVAC control panel with a digital multimeter and checklist tablet, visually depicting Website showcase — Quill Field Service Operations Guide, photorealistic photograph, sharp focus, content-faithful editorial image, realistic subject detail, clean blog-ready composition, a purely pictorial, wordless picture with zero readable text, words or letters, every surface plain, unmarked materi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 clean technical illustration of a field technician inspecting a commercial rooftop HVAC control panel with a digital multimeter and checklist tablet, visually depicting Website showcase — Quill Field Service Operations Guide, photorealistic photograph, sharp focus, content-faithful editorial image, realistic subject detail, clean blog-ready composition, a purely pictorial, wordless picture with zero readable text, words or letters, every surface plain, unmarked material"/>
                    <pic:cNvPicPr/>
                  </pic:nvPicPr>
                  <pic:blipFill>
                    <a:blip xmlns:r="http://schemas.openxmlformats.org/officeDocument/2006/relationships" r:embed="R435407bbffc349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21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US"/>
        </w:rPr>
        <w:t xml:space="preserve"> </w:t>
      </w:r>
      <w:r>
        <w:rPr>
          <w:lang w:val="en-US"/>
        </w:rPr>
        <w:t xml:space="preserve"> When a route crosses two service zones, the coordinator logs the handoff reason and confirms spare-parts inventory at the receiving depot.</w:t>
      </w:r>
    </w:p>
    <w:tbl>
      <w:tblPr>
        <w:tblW w:w="9026" w:type="dxa"/>
        <w:tblInd w:w="0" w:type="dxa"/>
        <w:tblBorders>
          <w:top w:val="nil"/>
          <w:left w:val="nil"/>
          <w:bottom w:val="single" w:color="D3DBE6" w:sz="6"/>
          <w:right w:val="nil"/>
          <w:insideH w:val="nil"/>
          <w:insideV w:val="nil"/>
        </w:tblBorders>
        <w:tblLayout w:type="fixed"/>
        <w:tblCellMar>
          <w:top w:w="89" w:type="dxa"/>
          <w:left w:w="125" w:type="dxa"/>
          <w:bottom w:w="89" w:type="dxa"/>
          <w:right w:w="125" w:type="dxa"/>
        </w:tblCellMar>
      </w:tblPr>
      <w:tblGrid>
        <w:gridCol w:w="2257"/>
        <w:gridCol w:w="2257"/>
        <w:gridCol w:w="2256"/>
        <w:gridCol w:w="2256"/>
      </w:tblGrid>
      <w:tr>
        <w:trPr>
          <w:cantSplit/>
          <w:tblHeader/>
        </w:trPr>
        <w:tc>
          <w:tcPr>
            <w:tcW w:w="2257" w:type="dxa"/>
            <w:shd w:val="clear" w:color="auto" w:fill="0B2A5C"/>
          </w:tcPr>
          <w:p>
            <w:pPr>
              <w:pStyle w:val="TableHeading"/>
              <w:spacing w:before="0" w:after="0" w:line="276" w:lineRule="auto"/>
              <w:ind w:left="0" w:right="0" w:firstLine="0"/>
              <w:jc w:val="left"/>
            </w:pPr>
            <w:r>
              <w:rPr>
                <w:b/>
                <w:lang w:val="en-US"/>
              </w:rPr>
              <w:t xml:space="preserve">Service Tier</w:t>
            </w:r>
          </w:p>
        </w:tc>
        <w:tc>
          <w:tcPr>
            <w:tcW w:w="2257" w:type="dxa"/>
            <w:shd w:val="clear" w:color="auto" w:fill="0B2A5C"/>
          </w:tcPr>
          <w:p>
            <w:pPr>
              <w:pStyle w:val="TableHeading"/>
              <w:spacing w:before="0" w:after="0" w:line="276" w:lineRule="auto"/>
              <w:ind w:left="0" w:right="0" w:firstLine="0"/>
              <w:jc w:val="left"/>
            </w:pPr>
            <w:r>
              <w:rPr>
                <w:b/>
                <w:lang w:val="en-US"/>
              </w:rPr>
              <w:t xml:space="preserve">Target Response Window</w:t>
            </w:r>
          </w:p>
        </w:tc>
        <w:tc>
          <w:tcPr>
            <w:tcW w:w="2256" w:type="dxa"/>
            <w:shd w:val="clear" w:color="auto" w:fill="0B2A5C"/>
          </w:tcPr>
          <w:p>
            <w:pPr>
              <w:pStyle w:val="TableHeading"/>
              <w:spacing w:before="0" w:after="0" w:line="276" w:lineRule="auto"/>
              <w:ind w:left="0" w:right="0" w:firstLine="0"/>
              <w:jc w:val="left"/>
            </w:pPr>
            <w:r>
              <w:rPr>
                <w:b/>
                <w:lang w:val="en-US"/>
              </w:rPr>
              <w:t xml:space="preserve">Preventive Inspection Cycle</w:t>
            </w:r>
          </w:p>
        </w:tc>
        <w:tc>
          <w:tcPr>
            <w:tcW w:w="2256" w:type="dxa"/>
            <w:shd w:val="clear" w:color="auto" w:fill="0B2A5C"/>
          </w:tcPr>
          <w:p>
            <w:pPr>
              <w:pStyle w:val="TableHeading"/>
              <w:spacing w:before="0" w:after="0" w:line="276" w:lineRule="auto"/>
              <w:ind w:left="0" w:right="0" w:firstLine="0"/>
              <w:jc w:val="left"/>
            </w:pPr>
            <w:r>
              <w:rPr>
                <w:b/>
                <w:lang w:val="en-US"/>
              </w:rPr>
              <w:t xml:space="preserve">Escalation Owner</w:t>
            </w:r>
          </w:p>
        </w:tc>
      </w:tr>
      <w:tr>
        <w:trPr>
          <w:cantSplit/>
        </w:trPr>
        <w:tc>
          <w:tcPr>
            <w:tcW w:w="2257" w:type="dxa"/>
          </w:tcPr>
          <w:p>
            <w:pPr>
              <w:pStyle w:val="TableText"/>
              <w:spacing w:before="0" w:after="0" w:line="276" w:lineRule="auto"/>
              <w:ind w:left="0" w:right="0" w:firstLine="0"/>
              <w:jc w:val="left"/>
            </w:pPr>
            <w:r>
              <w:rPr>
                <w:lang w:val="en-US"/>
              </w:rPr>
              <w:t xml:space="preserve">Tier 1 — Critical Infrastructure</w:t>
            </w:r>
          </w:p>
        </w:tc>
        <w:tc>
          <w:tcPr>
            <w:tcW w:w="2257" w:type="dxa"/>
          </w:tcPr>
          <w:p>
            <w:pPr>
              <w:pStyle w:val="TableText"/>
              <w:spacing w:before="0" w:after="0" w:line="276" w:lineRule="auto"/>
              <w:ind w:left="0" w:right="0" w:firstLine="0"/>
              <w:jc w:val="left"/>
            </w:pPr>
            <w:r>
              <w:rPr>
                <w:lang w:val="en-US"/>
              </w:rPr>
              <w:t xml:space="preserve">Under 4 hours</w:t>
            </w:r>
          </w:p>
        </w:tc>
        <w:tc>
          <w:tcPr>
            <w:tcW w:w="2256" w:type="dxa"/>
          </w:tcPr>
          <w:p>
            <w:pPr>
              <w:pStyle w:val="TableText"/>
              <w:spacing w:before="0" w:after="0" w:line="276" w:lineRule="auto"/>
              <w:ind w:left="0" w:right="0" w:firstLine="0"/>
              <w:jc w:val="left"/>
            </w:pPr>
            <w:r>
              <w:rPr>
                <w:lang w:val="en-US"/>
              </w:rPr>
              <w:t xml:space="preserve">Monthly (30 days)</w:t>
            </w:r>
          </w:p>
        </w:tc>
        <w:tc>
          <w:tcPr>
            <w:tcW w:w="2256" w:type="dxa"/>
          </w:tcPr>
          <w:p>
            <w:pPr>
              <w:pStyle w:val="TableText"/>
              <w:spacing w:before="0" w:after="0" w:line="276" w:lineRule="auto"/>
              <w:ind w:left="0" w:right="0" w:firstLine="0"/>
              <w:jc w:val="left"/>
            </w:pPr>
            <w:r>
              <w:rPr>
                <w:lang w:val="en-US"/>
              </w:rPr>
              <w:t xml:space="preserve">Regional Duty Lead</w:t>
            </w:r>
          </w:p>
        </w:tc>
      </w:tr>
      <w:tr>
        <w:trPr>
          <w:cantSplit/>
        </w:trPr>
        <w:tc>
          <w:tcPr>
            <w:tcW w:w="2257" w:type="dxa"/>
            <w:shd w:val="clear" w:color="auto" w:fill="F4F7FB"/>
          </w:tcPr>
          <w:p>
            <w:pPr>
              <w:pStyle w:val="TableText"/>
              <w:spacing w:before="0" w:after="0" w:line="276" w:lineRule="auto"/>
              <w:ind w:left="0" w:right="0" w:firstLine="0"/>
              <w:jc w:val="left"/>
            </w:pPr>
            <w:r>
              <w:rPr>
                <w:lang w:val="en-US"/>
              </w:rPr>
              <w:t xml:space="preserve">Tier 2 — Standard Commercial</w:t>
            </w:r>
          </w:p>
        </w:tc>
        <w:tc>
          <w:tcPr>
            <w:tcW w:w="2257" w:type="dxa"/>
            <w:shd w:val="clear" w:color="auto" w:fill="F4F7FB"/>
          </w:tcPr>
          <w:p>
            <w:pPr>
              <w:pStyle w:val="TableText"/>
              <w:spacing w:before="0" w:after="0" w:line="276" w:lineRule="auto"/>
              <w:ind w:left="0" w:right="0" w:firstLine="0"/>
              <w:jc w:val="left"/>
            </w:pPr>
            <w:r>
              <w:rPr>
                <w:lang w:val="en-US"/>
              </w:rPr>
              <w:t xml:space="preserve">Within 24 hours</w:t>
            </w:r>
          </w:p>
        </w:tc>
        <w:tc>
          <w:tcPr>
            <w:tcW w:w="2256" w:type="dxa"/>
            <w:shd w:val="clear" w:color="auto" w:fill="F4F7FB"/>
          </w:tcPr>
          <w:p>
            <w:pPr>
              <w:pStyle w:val="TableText"/>
              <w:spacing w:before="0" w:after="0" w:line="276" w:lineRule="auto"/>
              <w:ind w:left="0" w:right="0" w:firstLine="0"/>
              <w:jc w:val="left"/>
            </w:pPr>
            <w:r>
              <w:rPr>
                <w:lang w:val="en-US"/>
              </w:rPr>
              <w:t xml:space="preserve">Quarterly (90 days)</w:t>
            </w:r>
          </w:p>
        </w:tc>
        <w:tc>
          <w:tcPr>
            <w:tcW w:w="2256" w:type="dxa"/>
            <w:shd w:val="clear" w:color="auto" w:fill="F4F7FB"/>
          </w:tcPr>
          <w:p>
            <w:pPr>
              <w:pStyle w:val="TableText"/>
              <w:spacing w:before="0" w:after="0" w:line="276" w:lineRule="auto"/>
              <w:ind w:left="0" w:right="0" w:firstLine="0"/>
              <w:jc w:val="left"/>
            </w:pPr>
            <w:r>
              <w:rPr>
                <w:lang w:val="en-US"/>
              </w:rPr>
              <w:t xml:space="preserve">Zone Dispatch Supervisor</w:t>
            </w:r>
          </w:p>
        </w:tc>
      </w:tr>
      <w:tr>
        <w:trPr>
          <w:cantSplit/>
        </w:trPr>
        <w:tc>
          <w:tcPr>
            <w:tcW w:w="2257" w:type="dxa"/>
          </w:tcPr>
          <w:p>
            <w:pPr>
              <w:pStyle w:val="TableText"/>
              <w:spacing w:before="0" w:after="0" w:line="276" w:lineRule="auto"/>
              <w:ind w:left="0" w:right="0" w:firstLine="0"/>
              <w:jc w:val="left"/>
            </w:pPr>
            <w:r>
              <w:rPr>
                <w:lang w:val="en-US"/>
              </w:rPr>
              <w:t xml:space="preserve">Tier 3 — Scheduled Depot Asset</w:t>
            </w:r>
          </w:p>
        </w:tc>
        <w:tc>
          <w:tcPr>
            <w:tcW w:w="2257" w:type="dxa"/>
          </w:tcPr>
          <w:p>
            <w:pPr>
              <w:pStyle w:val="TableText"/>
              <w:spacing w:before="0" w:after="0" w:line="276" w:lineRule="auto"/>
              <w:ind w:left="0" w:right="0" w:firstLine="0"/>
              <w:jc w:val="left"/>
            </w:pPr>
            <w:r>
              <w:rPr>
                <w:lang w:val="en-US"/>
              </w:rPr>
              <w:t xml:space="preserve">Within 72 hours</w:t>
            </w:r>
          </w:p>
        </w:tc>
        <w:tc>
          <w:tcPr>
            <w:tcW w:w="2256" w:type="dxa"/>
          </w:tcPr>
          <w:p>
            <w:pPr>
              <w:pStyle w:val="TableText"/>
              <w:spacing w:before="0" w:after="0" w:line="276" w:lineRule="auto"/>
              <w:ind w:left="0" w:right="0" w:firstLine="0"/>
              <w:jc w:val="left"/>
            </w:pPr>
            <w:r>
              <w:rPr>
                <w:lang w:val="en-US"/>
              </w:rPr>
              <w:t xml:space="preserve">Semi-annual (180 days)</w:t>
            </w:r>
          </w:p>
        </w:tc>
        <w:tc>
          <w:tcPr>
            <w:tcW w:w="2256" w:type="dxa"/>
          </w:tcPr>
          <w:p>
            <w:pPr>
              <w:pStyle w:val="TableText"/>
              <w:spacing w:before="0" w:after="0" w:line="276" w:lineRule="auto"/>
              <w:ind w:left="0" w:right="0" w:firstLine="0"/>
              <w:jc w:val="left"/>
            </w:pPr>
            <w:r>
              <w:rPr>
                <w:lang w:val="en-US"/>
              </w:rPr>
              <w:t xml:space="preserve">Fleet Maintenance Planner</w:t>
            </w:r>
          </w:p>
        </w:tc>
      </w:tr>
    </w:tbl>
    <w:p>
      <w:pPr>
        <w:pStyle w:val="Heading2"/>
        <w:outlineLvl w:val="1"/>
      </w:pPr>
      <w:r>
        <w:rPr>
          <w:lang w:val="en-US"/>
        </w:rPr>
        <w:t xml:space="preserve">2. Pre-Dispatch Readiness Checklist</w:t>
      </w:r>
    </w:p>
    <w:p>
      <w:pPr>
        <w:pStyle w:val="ListParagraph"/>
        <w:numPr>
          <w:ilvl w:val="0"/>
          <w:numId w:val="1"/>
        </w:numPr>
        <w:spacing w:line="276" w:lineRule="auto"/>
        <w:ind w:left="360" w:hanging="240"/>
      </w:pPr>
      <w:r>
        <w:rPr>
          <w:lang w:val="en-US"/>
        </w:rPr>
        <w:t xml:space="preserve">[x] Confirm calibrated torque and diagnostic kit serial numbers on the dispatch manifest</w:t>
      </w:r>
    </w:p>
    <w:p>
      <w:pPr>
        <w:pStyle w:val="ListParagraph"/>
        <w:numPr>
          <w:ilvl w:val="0"/>
          <w:numId w:val="1"/>
        </w:numPr>
        <w:spacing w:line="276" w:lineRule="auto"/>
        <w:ind w:left="360" w:hanging="240"/>
      </w:pPr>
      <w:r>
        <w:rPr>
          <w:lang w:val="en-US"/>
        </w:rPr>
        <w:t xml:space="preserve">[x] Verify site access credentials and safety Lockout/Tagout permit window</w:t>
      </w:r>
    </w:p>
    <w:p>
      <w:pPr>
        <w:pStyle w:val="ListParagraph"/>
        <w:numPr>
          <w:ilvl w:val="0"/>
          <w:numId w:val="1"/>
        </w:numPr>
        <w:spacing w:line="276" w:lineRule="auto"/>
        <w:ind w:left="360" w:hanging="240"/>
      </w:pPr>
      <w:r>
        <w:rPr>
          <w:lang w:val="en-US"/>
        </w:rPr>
        <w:t xml:space="preserve">[ ] Record baseline telemetry readings before replacing any sensor module</w:t>
      </w:r>
    </w:p>
    <w:p>
      <w:pPr>
        <w:pStyle w:val="ListParagraph"/>
        <w:numPr>
          <w:ilvl w:val="0"/>
          <w:numId w:val="1"/>
        </w:numPr>
        <w:spacing w:line="276" w:lineRule="auto"/>
        <w:ind w:left="360" w:hanging="240"/>
      </w:pPr>
      <w:r>
        <w:rPr>
          <w:lang w:val="en-US"/>
        </w:rPr>
        <w:t xml:space="preserve">[ ] Upload signed completion log before closing the work order</w:t>
      </w:r>
    </w:p>
    <w:p>
      <w:pPr>
        <w:pStyle w:val="Heading2"/>
        <w:outlineLvl w:val="1"/>
      </w:pPr>
      <w:r>
        <w:rPr>
          <w:lang w:val="en-US"/>
        </w:rPr>
        <w:t xml:space="preserve">3. Field Exception Escalation Protocol</w:t>
      </w:r>
    </w:p>
    <w:p>
      <w:pPr>
        <w:pStyle w:val="Normal"/>
        <w:spacing w:line="276" w:lineRule="auto"/>
      </w:pPr>
      <w:r>
        <w:rPr>
          <w:lang w:val="en-US"/>
        </w:rPr>
        <w:t xml:space="preserve">Stop work immediately if unscheduled structural wear is found or voltage drift exceeds 5% of nominal. Within 30 minutes, the supervisor decides whether to dispatch a secondary crew or replacement assembly.</w:t>
      </w:r>
    </w:p>
    <w:p>
      <w:pPr>
        <w:pStyle w:val="CalloutTip"/>
        <w:spacing w:line="276" w:lineRule="auto"/>
      </w:pPr>
      <w:r>
        <w:rPr>
          <w:lang w:val="en-US"/>
        </w:rPr>
        <w:t xml:space="preserve">💡</w:t>
      </w:r>
    </w:p>
    <w:p>
      <w:pPr>
        <w:pStyle w:val="CalloutTip"/>
        <w:spacing w:before="0" w:after="230" w:line="276" w:lineRule="auto"/>
      </w:pPr>
      <w:r>
        <w:rPr>
          <w:b/>
          <w:lang w:val="en-US"/>
        </w:rPr>
        <w:t xml:space="preserve">Pro Tip</w:t>
      </w:r>
      <w:r>
        <w:rPr>
          <w:lang w:val="en-US"/>
        </w:rPr>
        <w:t xml:space="preserve">Field Verification Tip: Always photograph the calibrated serial tag and baseline voltage display before breaking a Lockout/Tagout seal.</w:t>
      </w:r>
    </w:p>
    <w:sectPr>
      <w:footerReference xmlns:r="http://schemas.openxmlformats.org/officeDocument/2006/relationships" w:type="default" r:id="R8fcd36d94e2a4a96"/>
      <w:pgSz w:w="11906" w:h="16838" w:orient="portrait"/>
      <w:pgMar w:top="1440" w:right="1440" w:bottom="1440" w:left="1440" w:header="720" w:footer="720" w:gutter="0"/>
      <w:pgNumType w:fmt="decimal" w:start="1"/>
    </w:sectPr>
  </w:body>
</w:document>
</file>

<file path=word/fontTable.xml><?xml version="1.0" encoding="utf-8"?>
<w:fonts xmlns:w="http://schemas.openxmlformats.org/wordprocessingml/2006/main">
  <w:font w:name="Inter">
    <w:family w:val="swiss"/>
    <w:pitch w:val="variable"/>
  </w:font>
  <w:font w:name="Inter Tight">
    <w:family w:val="swiss"/>
    <w:pitch w:val="variable"/>
  </w:font>
  <w:font w:name="JetBrains Mono">
    <w:family w:val="modern"/>
    <w:pitch w:val="fixed"/>
  </w:font>
</w:fonts>
</file>

<file path=word/footer1.xml><?xml version="1.0" encoding="utf-8"?>
<w:ftr xmlns:w="http://schemas.openxmlformats.org/wordprocessingml/2006/main">
  <w:p>
    <w:pPr>
      <w:pStyle w:val="Footer"/>
      <w:jc w:val="center"/>
    </w:pPr>
    <w:fldSimple w:instr="PAGE">
      <w:r>
        <w:rPr>
          <w:lang w:val="en-US"/>
        </w:rPr>
        <w:t xml:space="preserve">1</w:t>
      </w:r>
    </w:fldSimple>
    <w:r>
      <w:rPr>
        <w:lang w:val="en-US"/>
      </w:rPr>
      <w:t xml:space="preserve"> / </w:t>
    </w:r>
    <w:fldSimple w:instr="NUMPAGES">
      <w:r>
        <w:rPr>
          <w:lang w:val="en-US"/>
        </w:rPr>
        <w:t xml:space="preserve">1</w:t>
      </w:r>
    </w:fldSimple>
  </w:p>
</w:ftr>
</file>

<file path=word/numbering.xml><?xml version="1.0" encoding="utf-8"?>
<w:numbering xmlns:w="http://schemas.openxmlformats.org/wordprocessingml/2006/main">
  <w:abstractNum w:abstractNumId="1">
    <w:multiLevelType w:val="hybridMultilevel"/>
    <w:lvl w:ilvl="0">
      <w:start w:val="1"/>
      <w:numFmt w:val="bullet"/>
      <w:lvlText w:val="•"/>
      <w:lvlJc w:val="left"/>
      <w:pPr>
        <w:ind w:left="720" w:hanging="360"/>
      </w:pPr>
      <w:rPr>
        <w:color w:val="B0460A"/>
      </w:rPr>
    </w:lvl>
    <w:lvl w:ilvl="1">
      <w:start w:val="1"/>
      <w:numFmt w:val="bullet"/>
      <w:lvlText w:val="◦"/>
      <w:lvlJc w:val="left"/>
      <w:pPr>
        <w:ind w:left="1440" w:hanging="360"/>
      </w:pPr>
      <w:rPr>
        <w:color w:val="56606E"/>
      </w:rPr>
    </w:lvl>
    <w:lvl w:ilvl="2">
      <w:start w:val="1"/>
      <w:numFmt w:val="bullet"/>
      <w:lvlText w:val="▪"/>
      <w:lvlJc w:val="left"/>
      <w:pPr>
        <w:ind w:left="2160" w:hanging="360"/>
      </w:pPr>
      <w:rPr>
        <w:color w:val="56606E"/>
      </w:rPr>
    </w:lvl>
    <w:lvl w:ilvl="3">
      <w:start w:val="1"/>
      <w:numFmt w:val="bullet"/>
      <w:lvlText w:val="•"/>
      <w:lvlJc w:val="left"/>
      <w:pPr>
        <w:ind w:left="2880" w:hanging="360"/>
      </w:pPr>
      <w:rPr>
        <w:color w:val="56606E"/>
      </w:rPr>
    </w:lvl>
    <w:lvl w:ilvl="4">
      <w:start w:val="1"/>
      <w:numFmt w:val="bullet"/>
      <w:lvlText w:val="◦"/>
      <w:lvlJc w:val="left"/>
      <w:pPr>
        <w:ind w:left="3600" w:hanging="360"/>
      </w:pPr>
      <w:rPr>
        <w:color w:val="56606E"/>
      </w:rPr>
    </w:lvl>
    <w:lvl w:ilvl="5">
      <w:start w:val="1"/>
      <w:numFmt w:val="bullet"/>
      <w:lvlText w:val="▪"/>
      <w:lvlJc w:val="left"/>
      <w:pPr>
        <w:ind w:left="4320" w:hanging="360"/>
      </w:pPr>
      <w:rPr>
        <w:color w:val="56606E"/>
      </w:rPr>
    </w:lvl>
    <w:lvl w:ilvl="6">
      <w:start w:val="1"/>
      <w:numFmt w:val="bullet"/>
      <w:lvlText w:val="•"/>
      <w:lvlJc w:val="left"/>
      <w:pPr>
        <w:ind w:left="5040" w:hanging="360"/>
      </w:pPr>
      <w:rPr>
        <w:color w:val="56606E"/>
      </w:rPr>
    </w:lvl>
    <w:lvl w:ilvl="7">
      <w:start w:val="1"/>
      <w:numFmt w:val="bullet"/>
      <w:lvlText w:val="◦"/>
      <w:lvlJc w:val="left"/>
      <w:pPr>
        <w:ind w:left="5760" w:hanging="360"/>
      </w:pPr>
      <w:rPr>
        <w:color w:val="56606E"/>
      </w:rPr>
    </w:lvl>
    <w:lvl w:ilvl="8">
      <w:start w:val="1"/>
      <w:numFmt w:val="bullet"/>
      <w:lvlText w:val="▪"/>
      <w:lvlJc w:val="left"/>
      <w:pPr>
        <w:ind w:left="6480" w:hanging="360"/>
      </w:pPr>
      <w:rPr>
        <w:color w:val="56606E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="http://schemas.openxmlformats.org/wordprocessingml/2006/main"/>
</file>

<file path=word/styles.xml><?xml version="1.0" encoding="utf-8"?>
<w:styles xmlns:w="http://schemas.openxmlformats.org/wordprocessingml/2006/main">
  <w:docDefaults>
    <w:rPrDefault>
      <w:rPr>
        <w:rFonts w:ascii="Inter" w:hAnsi="Inter" w:eastAsia="Inter" w:cs="Inter"/>
        <w:color w:val="1F2937"/>
        <w:sz w:val="20"/>
        <w:szCs w:val="20"/>
        <w:lang w:val="en-US"/>
      </w:rPr>
    </w:rPrDefault>
    <w:pPrDefault>
      <w:pPr>
        <w:widowControl/>
        <w:spacing w:after="0" w:line="240" w:lineRule="auto"/>
      </w:pPr>
    </w:pPrDefault>
  </w:docDefaults>
  <w:style w:type="character" w:styleId="DefaultParagraphFont" w:default="true">
    <w:name w:val="Default Paragraph Font"/>
    <w:uiPriority w:val="1"/>
    <w:semiHidden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" w:default="true">
    <w:name w:val="Normal"/>
    <w:qFormat/>
    <w:pPr>
      <w:spacing w:before="0" w:after="144" w:line="316" w:lineRule="atLeast"/>
      <w:ind w:left="0" w:right="0" w:firstLine="0"/>
      <w:jc w:val="left"/>
    </w:pPr>
    <w:rPr>
      <w:rFonts w:ascii="Inter" w:hAnsi="Inter"/>
      <w:b w:val="false"/>
      <w:bCs w:val="false"/>
      <w:i w:val="false"/>
      <w:iCs w:val="false"/>
      <w:caps w:val="false"/>
      <w:color w:val="1F2937"/>
      <w:sz w:val="20"/>
      <w:szCs w:val="20"/>
    </w:rPr>
  </w:style>
  <w:style w:type="paragraph" w:styleId="ListParagraph">
    <w:name w:val="List Paragraph"/>
    <w:basedOn w:val="Normal"/>
    <w:qFormat/>
    <w:pPr>
      <w:spacing w:before="0" w:after="60" w:line="316" w:lineRule="atLeast"/>
      <w:ind w:left="0" w:right="0" w:firstLine="0"/>
      <w:jc w:val="left"/>
    </w:pPr>
    <w:rPr>
      <w:rFonts w:ascii="Inter" w:hAnsi="Inter"/>
      <w:b w:val="false"/>
      <w:bCs w:val="false"/>
      <w:i w:val="false"/>
      <w:iCs w:val="false"/>
      <w:caps w:val="false"/>
      <w:color w:val="1F2937"/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keepLines/>
      <w:pageBreakBefore w:val="true"/>
      <w:suppressAutoHyphens/>
      <w:spacing w:before="0" w:after="234" w:line="477" w:lineRule="atLeast"/>
      <w:ind w:left="0" w:right="0" w:firstLine="0"/>
      <w:jc w:val="left"/>
      <w:outlineLvl w:val="0"/>
    </w:pPr>
    <w:rPr>
      <w:rFonts w:ascii="Inter" w:hAnsi="Inter"/>
      <w:b w:val="true"/>
      <w:bCs w:val="true"/>
      <w:i w:val="false"/>
      <w:iCs w:val="false"/>
      <w:caps w:val="false"/>
      <w:color w:val="0B2350"/>
      <w:spacing w:val="-5"/>
      <w:sz w:val="39"/>
      <w:szCs w:val="39"/>
    </w:rPr>
  </w:style>
  <w:style w:type="paragraph" w:styleId="Heading2">
    <w:name w:val="Heading 2"/>
    <w:basedOn w:val="Normal"/>
    <w:next w:val="Normal"/>
    <w:qFormat/>
    <w:pPr>
      <w:keepNext/>
      <w:keepLines/>
      <w:pageBreakBefore w:val="false"/>
      <w:pBdr>
        <w:left w:val="single" w:color="E8620C" w:sz="24" w:space="9"/>
      </w:pBdr>
      <w:suppressAutoHyphens/>
      <w:spacing w:before="450" w:after="172" w:line="381" w:lineRule="atLeast"/>
      <w:ind w:left="232" w:right="0" w:firstLine="0"/>
      <w:jc w:val="left"/>
      <w:outlineLvl w:val="1"/>
    </w:pPr>
    <w:rPr>
      <w:rFonts w:ascii="Inter" w:hAnsi="Inter"/>
      <w:b w:val="true"/>
      <w:bCs w:val="true"/>
      <w:i w:val="false"/>
      <w:iCs w:val="false"/>
      <w:caps w:val="false"/>
      <w:color w:val="0B2350"/>
      <w:spacing w:val="-4"/>
      <w:sz w:val="31"/>
      <w:szCs w:val="31"/>
    </w:rPr>
  </w:style>
  <w:style w:type="paragraph" w:styleId="Heading3">
    <w:name w:val="Heading 3"/>
    <w:basedOn w:val="Normal"/>
    <w:next w:val="Normal"/>
    <w:qFormat/>
    <w:pPr>
      <w:keepNext/>
      <w:keepLines/>
      <w:pageBreakBefore w:val="false"/>
      <w:suppressAutoHyphens/>
      <w:spacing w:before="198" w:after="113" w:line="305" w:lineRule="atLeast"/>
      <w:ind w:left="0" w:right="0" w:firstLine="0"/>
      <w:jc w:val="left"/>
      <w:outlineLvl w:val="2"/>
    </w:pPr>
    <w:rPr>
      <w:rFonts w:ascii="Inter" w:hAnsi="Inter"/>
      <w:b w:val="true"/>
      <w:bCs w:val="true"/>
      <w:i w:val="false"/>
      <w:iCs w:val="false"/>
      <w:caps w:val="false"/>
      <w:color w:val="0B2350"/>
      <w:spacing w:val="-3"/>
      <w:sz w:val="25"/>
      <w:szCs w:val="25"/>
    </w:rPr>
  </w:style>
  <w:style w:type="paragraph" w:styleId="Heading4">
    <w:name w:val="Heading 4"/>
    <w:basedOn w:val="Normal"/>
    <w:next w:val="Normal"/>
    <w:qFormat/>
    <w:pPr>
      <w:keepNext/>
      <w:keepLines/>
      <w:pageBreakBefore w:val="false"/>
      <w:suppressAutoHyphens/>
      <w:spacing w:before="111" w:after="78" w:line="273" w:lineRule="atLeast"/>
      <w:ind w:left="0" w:right="0" w:firstLine="0"/>
      <w:jc w:val="left"/>
      <w:outlineLvl w:val="3"/>
    </w:pPr>
    <w:rPr>
      <w:rFonts w:ascii="Inter" w:hAnsi="Inter"/>
      <w:b w:val="true"/>
      <w:bCs w:val="true"/>
      <w:i w:val="false"/>
      <w:iCs w:val="false"/>
      <w:caps w:val="false"/>
      <w:color w:val="0B2350"/>
      <w:spacing w:val="-3"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keepLines/>
      <w:pageBreakBefore w:val="false"/>
      <w:suppressAutoHyphens/>
      <w:spacing w:before="70" w:after="62" w:line="217" w:lineRule="atLeast"/>
      <w:ind w:left="0" w:right="0" w:firstLine="0"/>
      <w:jc w:val="left"/>
      <w:outlineLvl w:val="4"/>
    </w:pPr>
    <w:rPr>
      <w:rFonts w:ascii="Inter" w:hAnsi="Inter"/>
      <w:b w:val="true"/>
      <w:bCs w:val="true"/>
      <w:i w:val="false"/>
      <w:iCs w:val="false"/>
      <w:caps w:val="true"/>
      <w:color w:val="0B2350"/>
      <w:spacing w:val="11"/>
      <w:sz w:val="18"/>
      <w:szCs w:val="18"/>
    </w:rPr>
  </w:style>
  <w:style w:type="paragraph" w:styleId="Heading6">
    <w:name w:val="Heading 6"/>
    <w:basedOn w:val="Normal"/>
    <w:next w:val="Normal"/>
    <w:qFormat/>
    <w:pPr>
      <w:keepNext/>
      <w:keepLines/>
      <w:pageBreakBefore w:val="false"/>
      <w:suppressAutoHyphens/>
      <w:spacing w:before="70" w:after="62" w:line="217" w:lineRule="atLeast"/>
      <w:ind w:left="0" w:right="0" w:firstLine="0"/>
      <w:jc w:val="left"/>
      <w:outlineLvl w:val="5"/>
    </w:pPr>
    <w:rPr>
      <w:rFonts w:ascii="Inter" w:hAnsi="Inter"/>
      <w:b w:val="true"/>
      <w:bCs w:val="true"/>
      <w:i w:val="false"/>
      <w:iCs w:val="false"/>
      <w:caps w:val="true"/>
      <w:color w:val="0B2350"/>
      <w:spacing w:val="11"/>
      <w:sz w:val="18"/>
      <w:szCs w:val="18"/>
    </w:rPr>
  </w:style>
  <w:style w:type="paragraph" w:styleId="DocumentTitle" w:customStyle="true">
    <w:name w:val="Document Title"/>
    <w:basedOn w:val="Normal"/>
    <w:next w:val="Normal"/>
    <w:qFormat/>
    <w:pPr>
      <w:keepNext/>
      <w:keepLines/>
      <w:suppressAutoHyphens/>
      <w:spacing w:before="0" w:after="742" w:line="527" w:lineRule="atLeast"/>
      <w:ind w:left="0" w:right="0" w:firstLine="0"/>
      <w:jc w:val="left"/>
      <w:outlineLvl w:val="0"/>
    </w:pPr>
    <w:rPr>
      <w:rFonts w:ascii="Inter Tight" w:hAnsi="Inter Tight"/>
      <w:b w:val="true"/>
      <w:bCs w:val="true"/>
      <w:i w:val="false"/>
      <w:iCs w:val="false"/>
      <w:caps w:val="false"/>
      <w:color w:val="0B2350"/>
      <w:spacing w:val="-12"/>
      <w:sz w:val="49"/>
      <w:szCs w:val="49"/>
    </w:rPr>
  </w:style>
  <w:style w:type="paragraph" w:styleId="TOCHeading">
    <w:name w:val="TOC Heading"/>
    <w:basedOn w:val="Normal"/>
    <w:qFormat/>
    <w:pPr>
      <w:keepNext/>
      <w:keepLines/>
      <w:pBdr>
        <w:left w:val="single" w:color="E8620C" w:sz="24" w:space="9"/>
      </w:pBdr>
      <w:suppressAutoHyphens/>
      <w:spacing w:before="0" w:after="344" w:line="381" w:lineRule="atLeast"/>
      <w:ind w:left="232" w:right="0" w:firstLine="0"/>
      <w:jc w:val="left"/>
    </w:pPr>
    <w:rPr>
      <w:rFonts w:ascii="Inter" w:hAnsi="Inter"/>
      <w:b w:val="true"/>
      <w:bCs w:val="true"/>
      <w:i w:val="false"/>
      <w:iCs w:val="false"/>
      <w:caps w:val="false"/>
      <w:color w:val="0B2350"/>
      <w:spacing w:val="-4"/>
      <w:sz w:val="31"/>
      <w:szCs w:val="31"/>
    </w:rPr>
  </w:style>
  <w:style w:type="paragraph" w:styleId="TOC1">
    <w:name w:val="TOC 1"/>
    <w:basedOn w:val="Normal"/>
    <w:qFormat/>
    <w:pPr>
      <w:keepLines/>
      <w:pBdr>
        <w:bottom w:val="single" w:color="D3DBE6" w:sz="6" w:space="5"/>
        <w:between w:val="single" w:color="D3DBE6" w:sz="6" w:space="5"/>
      </w:pBdr>
      <w:suppressAutoHyphens/>
      <w:spacing w:before="100" w:after="0" w:line="270" w:lineRule="atLeast"/>
      <w:ind w:left="0" w:right="0" w:firstLine="0"/>
      <w:jc w:val="left"/>
    </w:pPr>
    <w:rPr>
      <w:rFonts w:ascii="Inter" w:hAnsi="Inter"/>
      <w:b w:val="true"/>
      <w:bCs w:val="true"/>
      <w:i w:val="false"/>
      <w:iCs w:val="false"/>
      <w:caps w:val="false"/>
      <w:color w:val="0B2350"/>
      <w:sz w:val="20"/>
      <w:szCs w:val="20"/>
    </w:rPr>
  </w:style>
  <w:style w:type="paragraph" w:styleId="TOC2">
    <w:name w:val="TOC 2"/>
    <w:basedOn w:val="Normal"/>
    <w:qFormat/>
    <w:pPr>
      <w:keepLines/>
      <w:pBdr>
        <w:bottom w:val="single" w:color="D3DBE6" w:sz="6" w:space="5"/>
        <w:between w:val="single" w:color="D3DBE6" w:sz="6" w:space="5"/>
      </w:pBdr>
      <w:suppressAutoHyphens/>
      <w:spacing w:before="100" w:after="0" w:line="270" w:lineRule="atLeast"/>
      <w:ind w:left="240" w:right="0" w:firstLine="0"/>
      <w:jc w:val="left"/>
    </w:pPr>
    <w:rPr>
      <w:rFonts w:ascii="Inter" w:hAnsi="Inter"/>
      <w:b w:val="false"/>
      <w:bCs w:val="false"/>
      <w:i w:val="false"/>
      <w:iCs w:val="false"/>
      <w:caps w:val="false"/>
      <w:color w:val="1F2937"/>
      <w:sz w:val="20"/>
      <w:szCs w:val="20"/>
    </w:rPr>
  </w:style>
  <w:style w:type="paragraph" w:styleId="TOC3">
    <w:name w:val="TOC 3"/>
    <w:basedOn w:val="Normal"/>
    <w:qFormat/>
    <w:pPr>
      <w:keepLines/>
      <w:pBdr>
        <w:bottom w:val="single" w:color="D3DBE6" w:sz="6" w:space="5"/>
        <w:between w:val="single" w:color="D3DBE6" w:sz="6" w:space="5"/>
      </w:pBdr>
      <w:suppressAutoHyphens/>
      <w:spacing w:before="100" w:after="0" w:line="240" w:lineRule="atLeast"/>
      <w:ind w:left="480" w:right="0" w:firstLine="0"/>
      <w:jc w:val="left"/>
    </w:pPr>
    <w:rPr>
      <w:rFonts w:ascii="Inter" w:hAnsi="Inter"/>
      <w:b w:val="false"/>
      <w:bCs w:val="false"/>
      <w:i w:val="false"/>
      <w:iCs w:val="false"/>
      <w:caps w:val="false"/>
      <w:color w:val="56606E"/>
      <w:sz w:val="18"/>
      <w:szCs w:val="18"/>
    </w:rPr>
  </w:style>
  <w:style w:type="paragraph" w:styleId="Caption">
    <w:name w:val="Caption"/>
    <w:basedOn w:val="Normal"/>
    <w:qFormat/>
    <w:pPr>
      <w:suppressAutoHyphens/>
      <w:spacing w:before="98" w:after="144" w:line="249" w:lineRule="atLeast"/>
      <w:ind w:left="0" w:right="0" w:firstLine="0"/>
      <w:jc w:val="center"/>
    </w:pPr>
    <w:rPr>
      <w:rFonts w:ascii="Inter" w:hAnsi="Inter"/>
      <w:b w:val="false"/>
      <w:bCs w:val="false"/>
      <w:i w:val="false"/>
      <w:iCs w:val="false"/>
      <w:caps w:val="false"/>
      <w:color w:val="56606E"/>
      <w:sz w:val="18"/>
      <w:szCs w:val="18"/>
    </w:rPr>
  </w:style>
  <w:style w:type="paragraph" w:styleId="Attribution" w:customStyle="true">
    <w:name w:val="Attribution"/>
    <w:basedOn w:val="Normal"/>
    <w:qFormat/>
    <w:pPr>
      <w:spacing w:before="0" w:after="144" w:line="231" w:lineRule="atLeast"/>
      <w:ind w:left="0" w:right="0" w:firstLine="0"/>
      <w:jc w:val="center"/>
    </w:pPr>
    <w:rPr>
      <w:rFonts w:ascii="Inter" w:hAnsi="Inter"/>
      <w:b w:val="false"/>
      <w:bCs w:val="false"/>
      <w:i w:val="true"/>
      <w:iCs w:val="true"/>
      <w:caps w:val="false"/>
      <w:color w:val="56606E"/>
      <w:sz w:val="18"/>
      <w:szCs w:val="18"/>
    </w:rPr>
  </w:style>
  <w:style w:type="paragraph" w:styleId="Quote">
    <w:name w:val="Quote"/>
    <w:basedOn w:val="Normal"/>
    <w:qFormat/>
    <w:pPr>
      <w:pBdr>
        <w:left w:val="single" w:color="E8620C" w:sz="24" w:space="10"/>
      </w:pBdr>
      <w:spacing w:before="230" w:after="144" w:line="316" w:lineRule="atLeast"/>
      <w:ind w:left="260" w:right="0" w:firstLine="0"/>
      <w:jc w:val="left"/>
    </w:pPr>
    <w:rPr>
      <w:rFonts w:ascii="Inter" w:hAnsi="Inter"/>
      <w:b w:val="false"/>
      <w:bCs w:val="false"/>
      <w:i w:val="true"/>
      <w:iCs w:val="true"/>
      <w:caps w:val="false"/>
      <w:color w:val="56606E"/>
      <w:sz w:val="20"/>
      <w:szCs w:val="20"/>
    </w:rPr>
  </w:style>
  <w:style w:type="paragraph" w:styleId="QuoteSource" w:customStyle="true">
    <w:name w:val="Quote Source"/>
    <w:basedOn w:val="Normal"/>
    <w:qFormat/>
    <w:pPr>
      <w:pBdr>
        <w:left w:val="single" w:color="E8620C" w:sz="24" w:space="10"/>
      </w:pBdr>
      <w:spacing w:before="230" w:after="144" w:line="316" w:lineRule="atLeast"/>
      <w:ind w:left="260" w:right="0" w:firstLine="0"/>
      <w:jc w:val="left"/>
    </w:pPr>
    <w:rPr>
      <w:rFonts w:ascii="Inter" w:hAnsi="Inter"/>
      <w:b w:val="false"/>
      <w:bCs w:val="false"/>
      <w:i w:val="false"/>
      <w:iCs w:val="false"/>
      <w:caps w:val="false"/>
      <w:color w:val="56606E"/>
      <w:sz w:val="18"/>
      <w:szCs w:val="18"/>
    </w:rPr>
  </w:style>
  <w:style w:type="paragraph" w:styleId="PullQuote" w:customStyle="true">
    <w:name w:val="Pull Quote"/>
    <w:basedOn w:val="Normal"/>
    <w:qFormat/>
    <w:pPr>
      <w:keepLines/>
      <w:pBdr>
        <w:top w:val="single" w:color="E8620C" w:sz="11" w:space="8"/>
        <w:bottom w:val="single" w:color="D3DBE6" w:sz="6" w:space="8"/>
      </w:pBdr>
      <w:spacing w:before="322" w:after="322" w:line="325" w:lineRule="atLeast"/>
      <w:ind w:left="0" w:right="0" w:firstLine="0"/>
      <w:jc w:val="left"/>
    </w:pPr>
    <w:rPr>
      <w:rFonts w:ascii="Inter Tight" w:hAnsi="Inter Tight"/>
      <w:b w:val="false"/>
      <w:bCs w:val="false"/>
      <w:i w:val="false"/>
      <w:iCs w:val="false"/>
      <w:caps w:val="false"/>
      <w:color w:val="0B2350"/>
      <w:sz w:val="25"/>
      <w:szCs w:val="25"/>
    </w:rPr>
  </w:style>
  <w:style w:type="paragraph" w:styleId="Callout" w:customStyle="true">
    <w:name w:val="Callout"/>
    <w:basedOn w:val="Normal"/>
    <w:qFormat/>
    <w:pPr>
      <w:pBdr>
        <w:top w:val="single" w:color="F3F6FA" w:sz="2" w:space="8"/>
        <w:left w:val="single" w:color="E8620C" w:sz="24" w:space="10"/>
        <w:bottom w:val="single" w:color="F3F6FA" w:sz="2" w:space="8"/>
        <w:right w:val="single" w:color="F3F6FA" w:sz="2" w:space="10"/>
      </w:pBdr>
      <w:shd w:val="clear" w:color="auto" w:fill="F3F6FA"/>
      <w:spacing w:before="230" w:after="144" w:line="316" w:lineRule="atLeast"/>
      <w:ind w:left="270" w:right="215" w:firstLine="0"/>
      <w:jc w:val="left"/>
    </w:pPr>
    <w:rPr>
      <w:rFonts w:ascii="Inter" w:hAnsi="Inter"/>
      <w:b w:val="false"/>
      <w:bCs w:val="false"/>
      <w:i w:val="false"/>
      <w:iCs w:val="false"/>
      <w:caps w:val="false"/>
      <w:color w:val="1F2937"/>
      <w:sz w:val="20"/>
      <w:szCs w:val="20"/>
    </w:rPr>
  </w:style>
  <w:style w:type="paragraph" w:styleId="CalloutTip" w:customStyle="true">
    <w:name w:val="Callout Tip"/>
    <w:basedOn w:val="Normal"/>
    <w:qFormat/>
    <w:pPr>
      <w:pBdr>
        <w:top w:val="single" w:color="F3F6FA" w:sz="2" w:space="8"/>
        <w:left w:val="single" w:color="146C43" w:sz="24" w:space="10"/>
        <w:bottom w:val="single" w:color="F3F6FA" w:sz="2" w:space="8"/>
        <w:right w:val="single" w:color="F3F6FA" w:sz="2" w:space="10"/>
      </w:pBdr>
      <w:shd w:val="clear" w:color="auto" w:fill="F3F6FA"/>
      <w:spacing w:before="230" w:after="144" w:line="316" w:lineRule="atLeast"/>
      <w:ind w:left="270" w:right="215" w:firstLine="0"/>
      <w:jc w:val="left"/>
    </w:pPr>
    <w:rPr>
      <w:rFonts w:ascii="Inter" w:hAnsi="Inter"/>
      <w:b w:val="false"/>
      <w:bCs w:val="false"/>
      <w:i w:val="false"/>
      <w:iCs w:val="false"/>
      <w:caps w:val="false"/>
      <w:color w:val="1F2937"/>
      <w:sz w:val="20"/>
      <w:szCs w:val="20"/>
    </w:rPr>
  </w:style>
  <w:style w:type="paragraph" w:styleId="CalloutWarning" w:customStyle="true">
    <w:name w:val="Callout Warning"/>
    <w:basedOn w:val="Normal"/>
    <w:qFormat/>
    <w:pPr>
      <w:pBdr>
        <w:top w:val="single" w:color="F3F6FA" w:sz="2" w:space="8"/>
        <w:left w:val="single" w:color="8A5300" w:sz="24" w:space="10"/>
        <w:bottom w:val="single" w:color="F3F6FA" w:sz="2" w:space="8"/>
        <w:right w:val="single" w:color="F3F6FA" w:sz="2" w:space="10"/>
      </w:pBdr>
      <w:shd w:val="clear" w:color="auto" w:fill="F3F6FA"/>
      <w:spacing w:before="230" w:after="144" w:line="316" w:lineRule="atLeast"/>
      <w:ind w:left="270" w:right="215" w:firstLine="0"/>
      <w:jc w:val="left"/>
    </w:pPr>
    <w:rPr>
      <w:rFonts w:ascii="Inter" w:hAnsi="Inter"/>
      <w:b w:val="false"/>
      <w:bCs w:val="false"/>
      <w:i w:val="false"/>
      <w:iCs w:val="false"/>
      <w:caps w:val="false"/>
      <w:color w:val="1F2937"/>
      <w:sz w:val="20"/>
      <w:szCs w:val="20"/>
    </w:rPr>
  </w:style>
  <w:style w:type="paragraph" w:styleId="CalloutNote" w:customStyle="true">
    <w:name w:val="Callout Note"/>
    <w:basedOn w:val="Normal"/>
    <w:qFormat/>
    <w:pPr>
      <w:pBdr>
        <w:top w:val="single" w:color="F3F6FA" w:sz="2" w:space="8"/>
        <w:left w:val="single" w:color="0B2A5C" w:sz="24" w:space="10"/>
        <w:bottom w:val="single" w:color="F3F6FA" w:sz="2" w:space="8"/>
        <w:right w:val="single" w:color="F3F6FA" w:sz="2" w:space="10"/>
      </w:pBdr>
      <w:shd w:val="clear" w:color="auto" w:fill="F3F6FA"/>
      <w:spacing w:before="230" w:after="144" w:line="316" w:lineRule="atLeast"/>
      <w:ind w:left="270" w:right="215" w:firstLine="0"/>
      <w:jc w:val="left"/>
    </w:pPr>
    <w:rPr>
      <w:rFonts w:ascii="Inter" w:hAnsi="Inter"/>
      <w:b w:val="false"/>
      <w:bCs w:val="false"/>
      <w:i w:val="false"/>
      <w:iCs w:val="false"/>
      <w:caps w:val="false"/>
      <w:color w:val="1F2937"/>
      <w:sz w:val="20"/>
      <w:szCs w:val="20"/>
    </w:rPr>
  </w:style>
  <w:style w:type="paragraph" w:styleId="Panel" w:customStyle="true">
    <w:name w:val="Panel"/>
    <w:basedOn w:val="Normal"/>
    <w:qFormat/>
    <w:pPr>
      <w:pBdr>
        <w:top w:val="single" w:color="F3F6FA" w:sz="2" w:space="8"/>
        <w:left w:val="single" w:color="0B2A5C" w:sz="24" w:space="10"/>
        <w:bottom w:val="single" w:color="F3F6FA" w:sz="2" w:space="8"/>
        <w:right w:val="single" w:color="F3F6FA" w:sz="2" w:space="10"/>
      </w:pBdr>
      <w:shd w:val="clear" w:color="auto" w:fill="F3F6FA"/>
      <w:spacing w:before="230" w:after="144" w:line="316" w:lineRule="atLeast"/>
      <w:ind w:left="270" w:right="215" w:firstLine="0"/>
      <w:jc w:val="left"/>
    </w:pPr>
    <w:rPr>
      <w:rFonts w:ascii="Inter" w:hAnsi="Inter"/>
      <w:b w:val="false"/>
      <w:bCs w:val="false"/>
      <w:i w:val="false"/>
      <w:iCs w:val="false"/>
      <w:caps w:val="false"/>
      <w:color w:val="1F2937"/>
      <w:sz w:val="20"/>
      <w:szCs w:val="20"/>
    </w:rPr>
  </w:style>
  <w:style w:type="paragraph" w:styleId="PanelTop" w:customStyle="true">
    <w:name w:val="Panel Top"/>
    <w:basedOn w:val="Normal"/>
    <w:qFormat/>
    <w:pPr>
      <w:pBdr>
        <w:top w:val="single" w:color="0B2A5C" w:sz="24" w:space="8"/>
        <w:left w:val="single" w:color="F3F6FA" w:sz="2" w:space="10"/>
        <w:bottom w:val="single" w:color="F3F6FA" w:sz="2" w:space="8"/>
        <w:right w:val="single" w:color="F3F6FA" w:sz="2" w:space="10"/>
      </w:pBdr>
      <w:shd w:val="clear" w:color="auto" w:fill="F3F6FA"/>
      <w:spacing w:before="230" w:after="144" w:line="316" w:lineRule="atLeast"/>
      <w:ind w:left="215" w:right="215" w:firstLine="0"/>
      <w:jc w:val="left"/>
    </w:pPr>
    <w:rPr>
      <w:rFonts w:ascii="Inter" w:hAnsi="Inter"/>
      <w:b w:val="false"/>
      <w:bCs w:val="false"/>
      <w:i w:val="false"/>
      <w:iCs w:val="false"/>
      <w:caps w:val="false"/>
      <w:color w:val="1F2937"/>
      <w:sz w:val="20"/>
      <w:szCs w:val="20"/>
    </w:rPr>
  </w:style>
  <w:style w:type="paragraph" w:styleId="Code" w:customStyle="true">
    <w:name w:val="Code"/>
    <w:basedOn w:val="Normal"/>
    <w:qFormat/>
    <w:pPr>
      <w:pBdr>
        <w:top w:val="single" w:color="D3DBE6" w:sz="6" w:space="8"/>
        <w:left w:val="single" w:color="D3DBE6" w:sz="6" w:space="9"/>
        <w:bottom w:val="single" w:color="D3DBE6" w:sz="6" w:space="8"/>
        <w:right w:val="single" w:color="D3DBE6" w:sz="6" w:space="9"/>
      </w:pBdr>
      <w:shd w:val="clear" w:color="auto" w:fill="F3F6FA"/>
      <w:suppressAutoHyphens/>
      <w:spacing w:before="205" w:after="205" w:line="267" w:lineRule="atLeast"/>
      <w:ind w:left="193" w:right="193" w:firstLine="0"/>
      <w:contextualSpacing/>
      <w:jc w:val="left"/>
    </w:pPr>
    <w:rPr>
      <w:rFonts w:ascii="JetBrains Mono" w:hAnsi="JetBrains Mono"/>
      <w:b w:val="false"/>
      <w:bCs w:val="false"/>
      <w:i w:val="false"/>
      <w:iCs w:val="false"/>
      <w:caps w:val="false"/>
      <w:color w:val="1F2937"/>
      <w:sz w:val="18"/>
      <w:szCs w:val="18"/>
    </w:rPr>
  </w:style>
  <w:style w:type="paragraph" w:styleId="TableText" w:customStyle="true">
    <w:name w:val="Table Text"/>
    <w:basedOn w:val="Normal"/>
    <w:qFormat/>
    <w:pPr>
      <w:spacing w:before="0" w:after="0" w:line="253" w:lineRule="atLeast"/>
      <w:ind w:left="0" w:right="0" w:firstLine="0"/>
      <w:jc w:val="left"/>
    </w:pPr>
    <w:rPr>
      <w:rFonts w:ascii="Inter" w:hAnsi="Inter"/>
      <w:b w:val="false"/>
      <w:bCs w:val="false"/>
      <w:i w:val="false"/>
      <w:iCs w:val="false"/>
      <w:caps w:val="false"/>
      <w:color w:val="1F2937"/>
      <w:sz w:val="18"/>
      <w:szCs w:val="18"/>
    </w:rPr>
  </w:style>
  <w:style w:type="paragraph" w:styleId="TableHeading" w:customStyle="true">
    <w:name w:val="Table Heading"/>
    <w:basedOn w:val="Normal"/>
    <w:qFormat/>
    <w:pPr>
      <w:suppressAutoHyphens/>
      <w:spacing w:before="0" w:after="0" w:line="253" w:lineRule="atLeast"/>
      <w:ind w:left="0" w:right="0" w:firstLine="0"/>
      <w:jc w:val="left"/>
    </w:pPr>
    <w:rPr>
      <w:rFonts w:ascii="Inter" w:hAnsi="Inter"/>
      <w:b w:val="true"/>
      <w:bCs w:val="true"/>
      <w:i w:val="false"/>
      <w:iCs w:val="false"/>
      <w:caps w:val="false"/>
      <w:color w:val="FFFFFF"/>
      <w:sz w:val="18"/>
      <w:szCs w:val="18"/>
    </w:rPr>
  </w:style>
  <w:style w:type="paragraph" w:styleId="TableRowHeading" w:customStyle="true">
    <w:name w:val="Table Row Heading"/>
    <w:basedOn w:val="Normal"/>
    <w:qFormat/>
    <w:pPr>
      <w:suppressAutoHyphens/>
      <w:spacing w:before="0" w:after="0" w:line="253" w:lineRule="atLeast"/>
      <w:ind w:left="0" w:right="0" w:firstLine="0"/>
      <w:jc w:val="left"/>
    </w:pPr>
    <w:rPr>
      <w:rFonts w:ascii="Inter" w:hAnsi="Inter"/>
      <w:b w:val="true"/>
      <w:bCs w:val="true"/>
      <w:i w:val="false"/>
      <w:iCs w:val="false"/>
      <w:caps w:val="false"/>
      <w:color w:val="757575"/>
      <w:sz w:val="18"/>
      <w:szCs w:val="18"/>
    </w:rPr>
  </w:style>
  <w:style w:type="paragraph" w:styleId="Divider" w:customStyle="true">
    <w:name w:val="Divider"/>
    <w:basedOn w:val="Normal"/>
    <w:qFormat/>
    <w:pPr>
      <w:pBdr>
        <w:bottom w:val="single" w:color="D3DBE6" w:sz="6" w:space="0"/>
      </w:pBdr>
      <w:spacing w:before="236" w:after="380" w:line="20" w:lineRule="exact"/>
      <w:ind w:left="0" w:right="0" w:firstLine="0"/>
      <w:jc w:val="left"/>
    </w:pPr>
    <w:rPr>
      <w:rFonts w:ascii="Inter" w:hAnsi="Inter"/>
      <w:b w:val="false"/>
      <w:bCs w:val="false"/>
      <w:i w:val="false"/>
      <w:iCs w:val="false"/>
      <w:caps w:val="false"/>
      <w:color w:val="1F2937"/>
      <w:sz w:val="2"/>
      <w:szCs w:val="2"/>
    </w:rPr>
  </w:style>
  <w:style w:type="paragraph" w:styleId="SceneBreak" w:customStyle="true">
    <w:name w:val="Scene Break"/>
    <w:basedOn w:val="Normal"/>
    <w:qFormat/>
    <w:pPr>
      <w:keepNext/>
      <w:spacing w:before="280" w:after="280" w:line="240" w:lineRule="auto"/>
      <w:ind w:left="0" w:right="0" w:firstLine="0"/>
      <w:jc w:val="center"/>
    </w:pPr>
    <w:rPr>
      <w:rFonts w:ascii="Inter" w:hAnsi="Inter"/>
      <w:b w:val="false"/>
      <w:bCs w:val="false"/>
      <w:i w:val="false"/>
      <w:iCs w:val="false"/>
      <w:caps w:val="false"/>
      <w:color w:val="E8620C"/>
      <w:sz w:val="23"/>
      <w:szCs w:val="23"/>
    </w:rPr>
  </w:style>
  <w:style w:type="paragraph" w:styleId="HeadingBar" w:customStyle="true">
    <w:name w:val="Heading Bar"/>
    <w:basedOn w:val="Normal"/>
    <w:qFormat/>
    <w:pPr>
      <w:keepNext/>
      <w:spacing w:before="0" w:after="0" w:line="20" w:lineRule="exact"/>
      <w:ind w:left="0" w:right="0" w:firstLine="0"/>
      <w:jc w:val="left"/>
    </w:pPr>
    <w:rPr>
      <w:rFonts w:ascii="Inter" w:hAnsi="Inter"/>
      <w:b w:val="false"/>
      <w:bCs w:val="false"/>
      <w:i w:val="false"/>
      <w:iCs w:val="false"/>
      <w:caps w:val="false"/>
      <w:color w:val="E8620C"/>
      <w:sz w:val="2"/>
      <w:szCs w:val="2"/>
    </w:rPr>
  </w:style>
  <w:style w:type="paragraph" w:styleId="ChapterNumber" w:customStyle="true">
    <w:name w:val="Chapter Number"/>
    <w:basedOn w:val="Normal"/>
    <w:qFormat/>
    <w:pPr>
      <w:keepNext/>
      <w:suppressAutoHyphens/>
      <w:spacing w:before="1296" w:after="96" w:line="288" w:lineRule="auto"/>
      <w:ind w:left="0" w:right="0" w:firstLine="0"/>
      <w:jc w:val="center"/>
    </w:pPr>
    <w:rPr>
      <w:rFonts w:ascii="Inter" w:hAnsi="Inter"/>
      <w:b w:val="true"/>
      <w:bCs w:val="true"/>
      <w:i w:val="false"/>
      <w:iCs w:val="false"/>
      <w:caps w:val="true"/>
      <w:color w:val="B0460A"/>
      <w:spacing w:val="29"/>
      <w:sz w:val="16"/>
      <w:szCs w:val="16"/>
    </w:rPr>
  </w:style>
  <w:style w:type="paragraph" w:styleId="ChapterTitle" w:customStyle="true">
    <w:name w:val="Chapter Title"/>
    <w:basedOn w:val="Normal"/>
    <w:next w:val="Normal"/>
    <w:qFormat/>
    <w:pPr>
      <w:keepNext/>
      <w:keepLines/>
      <w:suppressAutoHyphens/>
      <w:spacing w:before="0" w:after="320" w:line="602" w:lineRule="atLeast"/>
      <w:ind w:left="0" w:right="0" w:firstLine="0"/>
      <w:jc w:val="center"/>
      <w:outlineLvl w:val="0"/>
    </w:pPr>
    <w:rPr>
      <w:rFonts w:ascii="Inter Tight" w:hAnsi="Inter Tight"/>
      <w:b w:val="true"/>
      <w:bCs w:val="true"/>
      <w:i w:val="false"/>
      <w:iCs w:val="false"/>
      <w:caps w:val="false"/>
      <w:color w:val="0B2350"/>
      <w:spacing w:val="-13"/>
      <w:sz w:val="52"/>
      <w:szCs w:val="52"/>
    </w:rPr>
  </w:style>
  <w:style w:type="paragraph" w:styleId="Title">
    <w:name w:val="Title"/>
    <w:basedOn w:val="Normal"/>
    <w:qFormat/>
    <w:pPr>
      <w:keepNext/>
      <w:suppressAutoHyphens/>
      <w:spacing w:before="0" w:after="0" w:line="758" w:lineRule="atLeast"/>
      <w:ind w:left="0" w:right="0" w:firstLine="0"/>
      <w:jc w:val="left"/>
    </w:pPr>
    <w:rPr>
      <w:rFonts w:ascii="Inter Tight" w:hAnsi="Inter Tight"/>
      <w:b w:val="true"/>
      <w:bCs w:val="true"/>
      <w:i w:val="false"/>
      <w:iCs w:val="false"/>
      <w:caps w:val="false"/>
      <w:color w:val="FFFFFF"/>
      <w:spacing w:val="-18"/>
      <w:sz w:val="70"/>
      <w:szCs w:val="70"/>
    </w:rPr>
  </w:style>
  <w:style w:type="paragraph" w:styleId="Subtitle">
    <w:name w:val="Subtitle"/>
    <w:basedOn w:val="Normal"/>
    <w:qFormat/>
    <w:pPr>
      <w:keepNext/>
      <w:suppressAutoHyphens/>
      <w:spacing w:before="140" w:after="0" w:line="383" w:lineRule="atLeast"/>
      <w:ind w:left="0" w:right="0" w:firstLine="0"/>
      <w:jc w:val="left"/>
    </w:pPr>
    <w:rPr>
      <w:rFonts w:ascii="Inter" w:hAnsi="Inter"/>
      <w:b w:val="false"/>
      <w:bCs w:val="false"/>
      <w:i w:val="false"/>
      <w:iCs w:val="false"/>
      <w:caps w:val="false"/>
      <w:color w:val="FFFFFF"/>
      <w:sz w:val="29"/>
      <w:szCs w:val="29"/>
    </w:rPr>
  </w:style>
  <w:style w:type="paragraph" w:styleId="CoverDescription" w:customStyle="true">
    <w:name w:val="Cover Description"/>
    <w:basedOn w:val="Normal"/>
    <w:qFormat/>
    <w:pPr>
      <w:spacing w:before="280" w:after="0" w:line="300" w:lineRule="atLeast"/>
      <w:ind w:left="0" w:right="0" w:firstLine="0"/>
      <w:jc w:val="left"/>
    </w:pPr>
    <w:rPr>
      <w:rFonts w:ascii="Inter" w:hAnsi="Inter"/>
      <w:b w:val="false"/>
      <w:bCs w:val="false"/>
      <w:i w:val="false"/>
      <w:iCs w:val="false"/>
      <w:caps w:val="false"/>
      <w:color w:val="56606E"/>
      <w:sz w:val="20"/>
      <w:szCs w:val="20"/>
    </w:rPr>
  </w:style>
  <w:style w:type="paragraph" w:styleId="CoverMeta" w:customStyle="true">
    <w:name w:val="Cover Meta"/>
    <w:basedOn w:val="Normal"/>
    <w:qFormat/>
    <w:pPr>
      <w:pBdr>
        <w:top w:val="single" w:color="D3DBE6" w:sz="6" w:space="8"/>
      </w:pBdr>
      <w:spacing w:before="140" w:after="0" w:line="249" w:lineRule="atLeast"/>
      <w:ind w:left="0" w:right="0" w:firstLine="0"/>
      <w:jc w:val="left"/>
    </w:pPr>
    <w:rPr>
      <w:rFonts w:ascii="Inter" w:hAnsi="Inter"/>
      <w:b w:val="false"/>
      <w:bCs w:val="false"/>
      <w:i w:val="false"/>
      <w:iCs w:val="false"/>
      <w:caps w:val="false"/>
      <w:color w:val="56606E"/>
      <w:sz w:val="18"/>
      <w:szCs w:val="18"/>
    </w:rPr>
  </w:style>
  <w:style w:type="paragraph" w:styleId="CoverRule" w:customStyle="true">
    <w:name w:val="Cover Rule"/>
    <w:basedOn w:val="Normal"/>
    <w:qFormat/>
    <w:pPr>
      <w:keepNext/>
      <w:spacing w:before="0" w:after="0" w:line="20" w:lineRule="exact"/>
      <w:ind w:left="0" w:right="0" w:firstLine="0"/>
      <w:jc w:val="left"/>
    </w:pPr>
    <w:rPr>
      <w:rFonts w:ascii="Inter" w:hAnsi="Inter"/>
      <w:b w:val="false"/>
      <w:bCs w:val="false"/>
      <w:i w:val="false"/>
      <w:iCs w:val="false"/>
      <w:caps w:val="false"/>
      <w:color w:val="E8620C"/>
      <w:sz w:val="2"/>
      <w:szCs w:val="2"/>
    </w:rPr>
  </w:style>
  <w:style w:type="paragraph" w:styleId="Header">
    <w:name w:val="Header"/>
    <w:basedOn w:val="Normal"/>
    <w:qFormat/>
    <w:pPr>
      <w:suppressAutoHyphens/>
      <w:spacing w:before="0" w:after="0" w:line="288" w:lineRule="auto"/>
      <w:ind w:left="0" w:right="0" w:firstLine="0"/>
      <w:jc w:val="left"/>
    </w:pPr>
    <w:rPr>
      <w:rFonts w:ascii="Inter" w:hAnsi="Inter"/>
      <w:b w:val="false"/>
      <w:bCs w:val="false"/>
      <w:i w:val="false"/>
      <w:iCs w:val="false"/>
      <w:caps w:val="false"/>
      <w:color w:val="56606E"/>
      <w:sz w:val="18"/>
      <w:szCs w:val="18"/>
    </w:rPr>
  </w:style>
  <w:style w:type="paragraph" w:styleId="Footer">
    <w:name w:val="Footer"/>
    <w:basedOn w:val="Normal"/>
    <w:qFormat/>
    <w:pPr>
      <w:suppressAutoHyphens/>
      <w:spacing w:before="0" w:after="0" w:line="288" w:lineRule="auto"/>
      <w:ind w:left="0" w:right="0" w:firstLine="0"/>
      <w:jc w:val="left"/>
    </w:pPr>
    <w:rPr>
      <w:rFonts w:ascii="Inter" w:hAnsi="Inter"/>
      <w:b w:val="false"/>
      <w:bCs w:val="false"/>
      <w:i w:val="false"/>
      <w:iCs w:val="false"/>
      <w:caps w:val="false"/>
      <w:color w:val="56606E"/>
      <w:sz w:val="18"/>
      <w:szCs w:val="18"/>
    </w:rPr>
  </w:style>
  <w:style w:type="character" w:styleId="InlineCode" w:customStyle="true">
    <w:name w:val="Inline Code"/>
    <w:basedOn w:val="DefaultParagraphFont"/>
    <w:uiPriority w:val="99"/>
    <w:unhideWhenUsed/>
    <w:rPr>
      <w:rFonts w:ascii="JetBrains Mono" w:hAnsi="JetBrains Mono"/>
      <w:color w:val="1F2937"/>
      <w:sz w:val="17"/>
      <w:szCs w:val="17"/>
      <w:shd w:val="clear" w:color="auto" w:fill="F3F6FA"/>
    </w:rPr>
  </w:style>
  <w:style w:type="character" w:styleId="Hyperlink">
    <w:name w:val="Hyperlink"/>
    <w:basedOn w:val="DefaultParagraphFont"/>
    <w:uiPriority w:val="99"/>
    <w:unhideWhenUsed/>
    <w:rPr>
      <w:color w:val="1A56B8"/>
      <w:u w:val="single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f04cda95e4a8437f" /><Relationship Type="http://schemas.openxmlformats.org/officeDocument/2006/relationships/footer" Target="/word/footer1.xml" Id="R8fcd36d94e2a4a96" /><Relationship Type="http://schemas.openxmlformats.org/officeDocument/2006/relationships/image" Target="/media/image.jpg" Id="R435407bbffc349d4" /><Relationship Type="http://schemas.openxmlformats.org/officeDocument/2006/relationships/numbering" Target="/word/numbering.xml" Id="R72fa74158f0643a9" /><Relationship Type="http://schemas.openxmlformats.org/officeDocument/2006/relationships/fontTable" Target="/word/fontTable.xml" Id="R674c84310ad64ec6" /><Relationship Type="http://schemas.openxmlformats.org/officeDocument/2006/relationships/settings" Target="/word/settings.xml" Id="Rdf94d22565b14513" /></Relationships>
</file>