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da9f480f1d8f4f06" /></Relationships>
</file>

<file path=word/document.xml><?xml version="1.0" encoding="utf-8"?>
<w:document xmlns:w="http://schemas.openxmlformats.org/wordprocessingml/2006/main">
  <w:body>
    <w:tbl>
      <w:tblPr>
        <w:tblW w:w="11906" w:type="dxa"/>
        <w:jc w:val="center"/>
        <w:tblInd w:w="0" w:type="dxa"/>
        <w:tblLayout w:type="fixed"/>
        <w:tblCellMar>
          <w:top w:w="0" w:type="dxa"/>
          <w:left w:w="0" w:type="dxa"/>
          <w:bottom w:w="0" w:type="dxa"/>
          <w:right w:w="0" w:type="dxa"/>
        </w:tblCellMar>
      </w:tblPr>
      <w:tblGrid>
        <w:gridCol w:w="11906"/>
      </w:tblGrid>
      <w:tr>
        <w:trPr>
          <w:cantSplit/>
          <w:trHeight w:val="5979" w:hRule="atLeast"/>
        </w:trPr>
        <w:tc>
          <w:tcPr>
            <w:tcW w:w="11906" w:type="dxa"/>
            <w:shd w:val="clear" w:color="auto" w:fill="0B2A5C"/>
            <w:tcMar>
              <w:top w:w="1440" w:type="dxa"/>
              <w:left w:w="1440" w:type="dxa"/>
              <w:bottom w:w="280" w:type="dxa"/>
              <w:right w:w="1440" w:type="dxa"/>
            </w:tcMar>
            <w:vAlign w:val="bottom"/>
          </w:tcPr>
          <w:p>
            <w:pPr>
              <w:pStyle w:val="Title"/>
              <w:jc w:val="left"/>
            </w:pPr>
            <w:r>
              <w:rPr>
                <w:lang w:val="en-US"/>
              </w:rPr>
              <w:t xml:space="preserve">Website showcase — Quill Bulk: Spare-parts inventory handoff guide for regional field depots</w:t>
            </w:r>
          </w:p>
          <w:p>
            <w:pPr>
              <w:pStyle w:val="CoverRule"/>
              <w:keepNext/>
              <w:pBdr>
                <w:bottom w:val="single" w:color="E8620C" w:sz="24" w:space="0"/>
              </w:pBdr>
              <w:spacing w:before="120" w:after="0" w:line="20" w:lineRule="exact"/>
              <w:ind w:left="0" w:right="8546" w:firstLine="0"/>
              <w:rPr>
                <w:sz w:val="2"/>
                <w:szCs w:val="2"/>
              </w:rPr>
            </w:pPr>
          </w:p>
        </w:tc>
      </w:tr>
      <w:tr>
        <w:trPr>
          <w:cantSplit/>
          <w:trHeight w:val="6239" w:hRule="atLeast"/>
        </w:trPr>
        <w:tc>
          <w:tcPr>
            <w:tcW w:w="11906" w:type="dxa"/>
            <w:tcMar>
              <w:top w:w="400" w:type="dxa"/>
              <w:left w:w="1440" w:type="dxa"/>
              <w:bottom w:w="0" w:type="dxa"/>
              <w:right w:w="1440" w:type="dxa"/>
            </w:tcMar>
            <w:vAlign w:val="top"/>
          </w:tcPr>
          <w:p>
            <w:pPr>
              <w:spacing w:before="0" w:after="0" w:line="20" w:lineRule="exact"/>
              <w:rPr>
                <w:sz w:val="2"/>
                <w:szCs w:val="2"/>
              </w:rPr>
            </w:pPr>
          </w:p>
        </w:tc>
      </w:tr>
      <w:tr>
        <w:trPr>
          <w:cantSplit/>
          <w:trHeight w:val="900" w:hRule="atLeast"/>
        </w:trPr>
        <w:tc>
          <w:tcPr>
            <w:tcW w:w="11906" w:type="dxa"/>
            <w:tcMar>
              <w:top w:w="0" w:type="dxa"/>
              <w:left w:w="1440" w:type="dxa"/>
              <w:bottom w:w="1440" w:type="dxa"/>
              <w:right w:w="1440" w:type="dxa"/>
            </w:tcMar>
            <w:vAlign w:val="bottom"/>
          </w:tcPr>
          <w:p>
            <w:pPr>
              <w:pStyle w:val="CoverMeta"/>
              <w:spacing w:before="0"/>
              <w:jc w:val="left"/>
            </w:pPr>
            <w:r>
              <w:rPr>
                <w:lang w:val="en-US"/>
              </w:rPr>
              <w:t xml:space="preserve">October 23, 2026</w:t>
            </w:r>
          </w:p>
        </w:tc>
      </w:tr>
    </w:tbl>
    <w:p>
      <w:pPr>
        <w:spacing w:before="0" w:after="0" w:line="20" w:lineRule="exact"/>
        <w:rPr>
          <w:sz w:val="2"/>
          <w:szCs w:val="2"/>
        </w:rPr>
        <w:sectPr>
          <w:type w:val="nextPage"/>
          <w:pgSz w:w="11906" w:h="16838" w:orient="portrait"/>
          <w:pgMar w:top="0" w:right="0" w:bottom="0" w:left="0" w:header="0" w:footer="0" w:gutter="0"/>
          <w:pgNumType w:fmt="decimal" w:start="1"/>
        </w:sectPr>
      </w:pPr>
    </w:p>
    <w:p>
      <w:pPr>
        <w:pStyle w:val="TOCHeading"/>
      </w:pPr>
      <w:r>
        <w:rPr>
          <w:lang w:val="en-US"/>
        </w:rPr>
        <w:t xml:space="preserve">Table of Contents</w:t>
      </w:r>
    </w:p>
    <w:p>
      <w:pPr>
        <w:pStyle w:val="TOC1"/>
      </w:pPr>
      <w:r>
        <w:rPr>
          <w:lang w:val="en-US"/>
        </w:rPr>
        <w:t xml:space="preserve">Introduction &amp; Overview</w:t>
      </w:r>
    </w:p>
    <w:p>
      <w:pPr>
        <w:pStyle w:val="TOC1"/>
      </w:pPr>
      <w:r>
        <w:rPr>
          <w:lang w:val="en-US"/>
        </w:rPr>
        <w:t xml:space="preserve">Materials and Tools Required</w:t>
      </w:r>
    </w:p>
    <w:p>
      <w:pPr>
        <w:pStyle w:val="TOC2"/>
      </w:pPr>
      <w:r>
        <w:rPr>
          <w:lang w:val="en-US"/>
        </w:rPr>
        <w:t xml:space="preserve">Required records and materials</w:t>
      </w:r>
    </w:p>
    <w:p>
      <w:pPr>
        <w:pStyle w:val="TOC2"/>
      </w:pPr>
      <w:r>
        <w:rPr>
          <w:lang w:val="en-US"/>
        </w:rPr>
        <w:t xml:space="preserve">Conditional materials and tools</w:t>
      </w:r>
    </w:p>
    <w:p>
      <w:pPr>
        <w:pStyle w:val="TOC1"/>
      </w:pPr>
      <w:r>
        <w:rPr>
          <w:lang w:val="en-US"/>
        </w:rPr>
        <w:t xml:space="preserve">Safety Considerations</w:t>
      </w:r>
    </w:p>
    <w:p>
      <w:pPr>
        <w:pStyle w:val="TOC1"/>
      </w:pPr>
      <w:r>
        <w:rPr>
          <w:lang w:val="en-US"/>
        </w:rPr>
        <w:t xml:space="preserve">Step-by-Step Instructions</w:t>
      </w:r>
    </w:p>
    <w:p>
      <w:pPr>
        <w:pStyle w:val="TOC2"/>
      </w:pPr>
      <w:r>
        <w:rPr>
          <w:lang w:val="en-US"/>
        </w:rPr>
        <w:t xml:space="preserve">Step 1: Plan and authorize the transfer ◆ 25% complete</w:t>
      </w:r>
    </w:p>
    <w:p>
      <w:pPr>
        <w:pStyle w:val="TOC2"/>
      </w:pPr>
      <w:r>
        <w:rPr>
          <w:lang w:val="en-US"/>
        </w:rPr>
        <w:t xml:space="preserve">Step 2: Pick, verify, and package the stock ◆ 50% complete</w:t>
      </w:r>
    </w:p>
    <w:p>
      <w:pPr>
        <w:pStyle w:val="TOC2"/>
      </w:pPr>
      <w:r>
        <w:rPr>
          <w:lang w:val="en-US"/>
        </w:rPr>
        <w:t xml:space="preserve">Step 3: Release and transport the transfer ◆ 75% complete</w:t>
      </w:r>
    </w:p>
    <w:p>
      <w:pPr>
        <w:pStyle w:val="TOC2"/>
      </w:pPr>
      <w:r>
        <w:rPr>
          <w:lang w:val="en-US"/>
        </w:rPr>
        <w:t xml:space="preserve">Step 4: Receive, reconcile, and close the handoff ◆ 100% complete</w:t>
      </w:r>
    </w:p>
    <w:p>
      <w:pPr>
        <w:pStyle w:val="TOC1"/>
      </w:pPr>
      <w:r>
        <w:rPr>
          <w:lang w:val="en-US"/>
        </w:rPr>
        <w:t xml:space="preserve">Troubleshooting Common Problems</w:t>
      </w:r>
    </w:p>
    <w:p>
      <w:pPr>
        <w:pStyle w:val="TOC1"/>
      </w:pPr>
      <w:r>
        <w:rPr>
          <w:lang w:val="en-US"/>
        </w:rPr>
        <w:t xml:space="preserve">Tips for Best Results</w:t>
      </w:r>
    </w:p>
    <w:p>
      <w:pPr>
        <w:pStyle w:val="TOC1"/>
      </w:pPr>
      <w:r>
        <w:rPr>
          <w:lang w:val="en-US"/>
        </w:rPr>
        <w:t xml:space="preserve">Conclusion</w:t>
      </w:r>
    </w:p>
    <w:p>
      <w:pPr>
        <w:pStyle w:val="TOC1"/>
      </w:pPr>
      <w:r>
        <w:rPr>
          <w:lang w:val="en-US"/>
        </w:rPr>
        <w:t xml:space="preserve">References</w:t>
      </w:r>
    </w:p>
    <w:p>
      <w:r>
        <w:br w:type="page"/>
      </w:r>
    </w:p>
    <w:p>
      <w:pPr>
        <w:pStyle w:val="DocumentTitle"/>
        <w:outlineLvl w:val="0"/>
      </w:pPr>
      <w:r>
        <w:rPr>
          <w:lang w:val="en-US"/>
        </w:rPr>
        <w:t xml:space="preserve">Quill Bulk: Regional Depot Spare-Parts Handoff Guide</w:t>
      </w:r>
    </w:p>
    <w:p>
      <w:pPr>
        <w:pStyle w:val="Heading2"/>
        <w:outlineLvl w:val="1"/>
      </w:pPr>
      <w:r>
        <w:rPr>
          <w:lang w:val="en-US"/>
        </w:rPr>
        <w:t xml:space="preserve">Introduction &amp; Overview</w:t>
      </w:r>
    </w:p>
    <w:p>
      <w:pPr>
        <w:pStyle w:val="Normal"/>
        <w:spacing w:line="276" w:lineRule="auto"/>
      </w:pPr>
      <w:r>
        <w:rPr>
          <w:b/>
          <w:lang w:val="en-US"/>
        </w:rPr>
        <w:t xml:space="preserve">Skill level:</w:t>
      </w:r>
      <w:r>
        <w:rPr>
          <w:lang w:val="en-US"/>
        </w:rPr>
        <w:t xml:space="preserve"> Beginner-friendly operational procedure for depot leads, inventory controllers, field-service managers, and regional operations teams.</w:t>
      </w:r>
    </w:p>
    <w:p>
      <w:pPr>
        <w:pStyle w:val="Normal"/>
        <w:spacing w:line="276" w:lineRule="auto"/>
      </w:pPr>
      <w:r>
        <w:rPr>
          <w:lang w:val="en-US"/>
        </w:rPr>
        <w:t xml:space="preserve">In this guide, </w:t>
      </w:r>
      <w:r>
        <w:rPr>
          <w:b/>
          <w:lang w:val="en-US"/>
        </w:rPr>
        <w:t xml:space="preserve">Quill Bulk</w:t>
      </w:r>
      <w:r>
        <w:rPr>
          <w:lang w:val="en-US"/>
        </w:rPr>
        <w:t xml:space="preserve"> refers to an organization-specific handoff process or template for transferring spare-parts inventory between a central store and regional field depots. It is not presented as a verified inventory platform, software product, or industry-standard method. Your organization must confirm whether the Quill Bulk record is the approved transfer document or whether its information must be entered into an approved enterprise inventory system.</w:t>
      </w:r>
    </w:p>
    <w:p>
      <w:pPr>
        <w:pStyle w:val="Normal"/>
        <w:spacing w:line="276" w:lineRule="auto"/>
      </w:pPr>
      <w:r>
        <w:rPr>
          <w:lang w:val="en-US"/>
        </w:rPr>
        <w:t xml:space="preserve">Use this guide when a regional depot receives replenishment stock, emergency transfers, returnable components, or technician-kit inventory. It applies to physical inventory environments that may include warehouses, stockrooms, forward-stocking locations, and technician vehicles. FieldEx describes inventory tracking across stores, zones, and technician vehicles, while Ventory identifies vehicles, forward-stocking locations, and engineer kits as potential spare-parts holding locations. </w:t>
      </w:r>
      <w:hyperlink xmlns:r="http://schemas.openxmlformats.org/officeDocument/2006/relationships" w:history="true" r:id="R2299cee562494b4c">
        <w:r>
          <w:rPr>
            <w:rStyle w:val="Hyperlink"/>
            <w:lang w:val="en-US"/>
          </w:rPr>
          <w:t xml:space="preserve">FieldEx</w:t>
        </w:r>
      </w:hyperlink>
      <w:r>
        <w:rPr>
          <w:lang w:val="en-US"/>
        </w:rPr>
        <w:t xml:space="preserve"> (https://www.fieldex.com/en/products/spare-parts-inventory)</w:t>
      </w:r>
      <w:r>
        <w:rPr>
          <w:lang w:val="en-US"/>
        </w:rPr>
        <w:t xml:space="preserve"> and </w:t>
      </w:r>
      <w:hyperlink xmlns:r="http://schemas.openxmlformats.org/officeDocument/2006/relationships" w:history="true" r:id="Rb791c47f26e542ce">
        <w:r>
          <w:rPr>
            <w:rStyle w:val="Hyperlink"/>
            <w:lang w:val="en-US"/>
          </w:rPr>
          <w:t xml:space="preserve">Ventory</w:t>
        </w:r>
      </w:hyperlink>
      <w:r>
        <w:rPr>
          <w:lang w:val="en-US"/>
        </w:rPr>
        <w:t xml:space="preserve"> (https://www.ventory.io/blog-posts/spare-parts-inventory-management-field-service)</w:t>
      </w:r>
      <w:r>
        <w:rPr>
          <w:lang w:val="en-US"/>
        </w:rPr>
        <w:t xml:space="preserve"> describe these location types as part of field-inventory management, not as measured results for a particular depot network.</w:t>
      </w:r>
    </w:p>
    <w:p>
      <w:pPr>
        <w:pStyle w:val="Normal"/>
        <w:spacing w:line="276" w:lineRule="auto"/>
      </w:pPr>
      <w:r>
        <w:rPr>
          <w:lang w:val="en-US"/>
        </w:rPr>
        <w:t xml:space="preserve">Accurate transfer records matter because unrecorded usage and transfers </w:t>
      </w:r>
      <w:r>
        <w:rPr>
          <w:i/>
          <w:lang w:val="en-US"/>
        </w:rPr>
        <w:t xml:space="preserve">can</w:t>
      </w:r>
      <w:r>
        <w:rPr>
          <w:lang w:val="en-US"/>
        </w:rPr>
        <w:t xml:space="preserve"> lead to inaccurate stock records, shortages, wasted search time, repeat visits, and approval delays. This is a potential consequence identified by </w:t>
      </w:r>
      <w:hyperlink xmlns:r="http://schemas.openxmlformats.org/officeDocument/2006/relationships" w:history="true" r:id="R0f850357dfff4ffe">
        <w:r>
          <w:rPr>
            <w:rStyle w:val="Hyperlink"/>
            <w:lang w:val="en-US"/>
          </w:rPr>
          <w:t xml:space="preserve">FieldEquip</w:t>
        </w:r>
      </w:hyperlink>
      <w:r>
        <w:rPr>
          <w:lang w:val="en-US"/>
        </w:rPr>
        <w:t xml:space="preserve"> (https://www.fieldequip.com/manage-field-spare-parts-inventory/)</w:t>
      </w:r>
      <w:r>
        <w:rPr>
          <w:lang w:val="en-US"/>
        </w:rPr>
        <w:t xml:space="preserve">; it is not a measured outcome or rate for regional depots using this process.</w:t>
      </w:r>
    </w:p>
    <w:p>
      <w:pPr>
        <w:pStyle w:val="Normal"/>
        <w:spacing w:line="276" w:lineRule="auto"/>
      </w:pPr>
      <w:r>
        <w:rPr>
          <w:lang w:val="en-US"/>
        </w:rPr>
        <w:t xml:space="preserve">Before starting, confirm the approved inventory record, authorization path, barcode or label standard, and local replenishment policy. This guide does not assume a specific software version, scanning workflow, carrier arrangement, or segregation-of-duties model. Follow local authorization, controlled-parts, safety, and records-retention requirements where they apply.</w:t>
      </w:r>
    </w:p>
    <w:p>
      <w:pPr>
        <w:pStyle w:val="CalloutNote"/>
        <w:spacing w:after="230" w:line="276" w:lineRule="auto"/>
      </w:pPr>
      <w:r>
        <w:rPr>
          <w:b/>
          <w:lang w:val="en-US"/>
        </w:rPr>
        <w:t xml:space="preserve">What good looks like:</w:t>
      </w:r>
      <w:r>
        <w:rPr>
          <w:lang w:val="en-US"/>
        </w:rPr>
        <w:t xml:space="preserve"> The sending location, receiving depot, and approved inventory record agree on the same part number, revision or serial number where applicable, quantity, condition, transfer reference, and accountable recipient.</w:t>
      </w:r>
    </w:p>
    <w:p>
      <w:pPr>
        <w:pStyle w:val="Normal"/>
        <w:spacing w:line="276" w:lineRule="auto"/>
      </w:pPr>
      <w:r>
        <w:rPr>
          <w:lang w:val="en-US"/>
        </w:rPr>
        <w:t xml:space="preserve">The purpose of the handoff is not simply to move boxes. It is to establish a documented chain from the sending location to the receiving depot so that stock is not made available for field work until the receiving team has completed the required verification and any exception has been addressed.</w:t>
      </w:r>
    </w:p>
    <w:p>
      <w:pPr>
        <w:pStyle w:val="Heading2"/>
        <w:outlineLvl w:val="1"/>
      </w:pPr>
      <w:r>
        <w:rPr>
          <w:lang w:val="en-US"/>
        </w:rPr>
        <w:t xml:space="preserve">Materials and Tools Required</w:t>
      </w:r>
    </w:p>
    <w:p>
      <w:pPr>
        <w:pStyle w:val="Normal"/>
        <w:spacing w:line="276" w:lineRule="auto"/>
      </w:pPr>
      <w:r>
        <w:rPr>
          <w:lang w:val="en-US"/>
        </w:rPr>
        <w:t xml:space="preserve">Prepare the handoff area before shipment dispatch or receipt. Separate items that are required for a standard handoff from items that are conditional on local policy, shipment characteristics, or safety requirements. Do not start counting while staff are locating labels, documentation, devices, or protective equipment.</w:t>
      </w:r>
    </w:p>
    <w:p>
      <w:pPr>
        <w:pStyle w:val="Heading3"/>
        <w:outlineLvl w:val="2"/>
      </w:pPr>
      <w:r>
        <w:rPr>
          <w:lang w:val="en-US"/>
        </w:rPr>
        <w:t xml:space="preserve">Required records and materials</w:t>
      </w:r>
    </w:p>
    <w:p>
      <w:pPr>
        <w:pStyle w:val="ListParagraph"/>
        <w:numPr>
          <w:ilvl w:val="0"/>
          <w:numId w:val="1"/>
        </w:numPr>
        <w:spacing w:line="276" w:lineRule="auto"/>
        <w:ind w:left="360" w:hanging="240"/>
      </w:pPr>
      <w:r>
        <w:rPr>
          <w:b/>
          <w:lang w:val="en-US"/>
        </w:rPr>
        <w:t xml:space="preserve">1 transfer manifest per shipment:</w:t>
      </w:r>
      <w:r>
        <w:rPr>
          <w:lang w:val="en-US"/>
        </w:rPr>
        <w:t xml:space="preserve"> A printed or digital list of every stock line being handed over.</w:t>
      </w:r>
    </w:p>
    <w:p>
      <w:pPr>
        <w:pStyle w:val="ListParagraph"/>
        <w:numPr>
          <w:ilvl w:val="0"/>
          <w:numId w:val="1"/>
        </w:numPr>
        <w:spacing w:line="276" w:lineRule="auto"/>
        <w:ind w:left="360" w:hanging="240"/>
      </w:pPr>
      <w:r>
        <w:rPr>
          <w:b/>
          <w:lang w:val="en-US"/>
        </w:rPr>
        <w:t xml:space="preserve">1 unique transfer reference per shipment:</w:t>
      </w:r>
      <w:r>
        <w:rPr>
          <w:lang w:val="en-US"/>
        </w:rPr>
        <w:t xml:space="preserve"> Generate the reference through the organization's approved inventory-control process. Use the same reference on the manifest, container labels, receipt confirmation, discrepancy record, and transfer-related communications.</w:t>
      </w:r>
    </w:p>
    <w:p>
      <w:pPr>
        <w:pStyle w:val="ListParagraph"/>
        <w:numPr>
          <w:ilvl w:val="0"/>
          <w:numId w:val="1"/>
        </w:numPr>
        <w:spacing w:line="276" w:lineRule="auto"/>
        <w:ind w:left="360" w:hanging="240"/>
      </w:pPr>
      <w:r>
        <w:rPr>
          <w:b/>
          <w:lang w:val="en-US"/>
        </w:rPr>
        <w:t xml:space="preserve">1 receiving checklist per shipment:</w:t>
      </w:r>
      <w:r>
        <w:rPr>
          <w:lang w:val="en-US"/>
        </w:rPr>
        <w:t xml:space="preserve"> Used by the depot recipient during physical verification.</w:t>
      </w:r>
    </w:p>
    <w:p>
      <w:pPr>
        <w:pStyle w:val="ListParagraph"/>
        <w:numPr>
          <w:ilvl w:val="0"/>
          <w:numId w:val="1"/>
        </w:numPr>
        <w:spacing w:line="276" w:lineRule="auto"/>
        <w:ind w:left="360" w:hanging="240"/>
      </w:pPr>
      <w:r>
        <w:rPr>
          <w:b/>
          <w:lang w:val="en-US"/>
        </w:rPr>
        <w:t xml:space="preserve">1 discrepancy record per shipment with a variance:</w:t>
      </w:r>
      <w:r>
        <w:rPr>
          <w:lang w:val="en-US"/>
        </w:rPr>
        <w:t xml:space="preserve"> Prepare a blank record in advance; complete it only if delivered stock differs from the manifest or cannot be accepted.</w:t>
      </w:r>
    </w:p>
    <w:p>
      <w:pPr>
        <w:pStyle w:val="ListParagraph"/>
        <w:numPr>
          <w:ilvl w:val="0"/>
          <w:numId w:val="1"/>
        </w:numPr>
        <w:spacing w:line="276" w:lineRule="auto"/>
        <w:ind w:left="360" w:hanging="240"/>
      </w:pPr>
      <w:r>
        <w:rPr>
          <w:b/>
          <w:lang w:val="en-US"/>
        </w:rPr>
        <w:t xml:space="preserve">1 destination label per container:</w:t>
      </w:r>
      <w:r>
        <w:rPr>
          <w:lang w:val="en-US"/>
        </w:rPr>
        <w:t xml:space="preserve"> Each tote, carton, pallet, or cage must show the destination depot, transfer reference, container sequence, such as "1 of 3," and relevant handling instructions.</w:t>
      </w:r>
    </w:p>
    <w:p>
      <w:pPr>
        <w:pStyle w:val="ListParagraph"/>
        <w:numPr>
          <w:ilvl w:val="0"/>
          <w:numId w:val="1"/>
        </w:numPr>
        <w:spacing w:line="276" w:lineRule="auto"/>
        <w:ind w:left="360" w:hanging="240"/>
      </w:pPr>
      <w:r>
        <w:rPr>
          <w:b/>
          <w:lang w:val="en-US"/>
        </w:rPr>
        <w:t xml:space="preserve">1 condition label per non-new item:</w:t>
      </w:r>
      <w:r>
        <w:rPr>
          <w:lang w:val="en-US"/>
        </w:rPr>
        <w:t xml:space="preserve"> Apply one locally approved condition label to each applicable item or clearly segregated item group, such as serviceable, repairable, quarantine, or return.</w:t>
      </w:r>
    </w:p>
    <w:p>
      <w:pPr>
        <w:pStyle w:val="ListParagraph"/>
        <w:numPr>
          <w:ilvl w:val="0"/>
          <w:numId w:val="1"/>
        </w:numPr>
        <w:spacing w:line="276" w:lineRule="auto"/>
        <w:ind w:left="360" w:hanging="240"/>
      </w:pPr>
      <w:r>
        <w:rPr>
          <w:b/>
          <w:lang w:val="en-US"/>
        </w:rPr>
        <w:t xml:space="preserve">Packaging for every item:</w:t>
      </w:r>
      <w:r>
        <w:rPr>
          <w:lang w:val="en-US"/>
        </w:rPr>
        <w:t xml:space="preserve"> Select packaging that protects the item's size, weight, fragility, electrostatic sensitivity, temperature requirement, and handling requirement. Use one suitable container or protective package for each item or grouped line that cannot safely travel loose.</w:t>
      </w:r>
    </w:p>
    <w:p>
      <w:pPr>
        <w:pStyle w:val="ListParagraph"/>
        <w:numPr>
          <w:ilvl w:val="0"/>
          <w:numId w:val="1"/>
        </w:numPr>
        <w:spacing w:line="276" w:lineRule="auto"/>
        <w:ind w:left="360" w:hanging="240"/>
      </w:pPr>
      <w:r>
        <w:rPr>
          <w:b/>
          <w:lang w:val="en-US"/>
        </w:rPr>
        <w:t xml:space="preserve">Personal protective equipment (PPE) for each person handling stock:</w:t>
      </w:r>
      <w:r>
        <w:rPr>
          <w:lang w:val="en-US"/>
        </w:rPr>
        <w:t xml:space="preserve"> Each handler must wear the PPE required by the site and task before lifting, unpacking, or inspecting stock. This may include safety footwear, gloves, eye protection, or other locally required equipment.</w:t>
      </w:r>
    </w:p>
    <w:p>
      <w:pPr>
        <w:pStyle w:val="Heading3"/>
        <w:outlineLvl w:val="2"/>
      </w:pPr>
      <w:r>
        <w:rPr>
          <w:lang w:val="en-US"/>
        </w:rPr>
        <w:t xml:space="preserve">Conditional materials and tools</w:t>
      </w:r>
    </w:p>
    <w:p>
      <w:pPr>
        <w:pStyle w:val="ListParagraph"/>
        <w:numPr>
          <w:ilvl w:val="0"/>
          <w:numId w:val="2"/>
        </w:numPr>
        <w:spacing w:line="276" w:lineRule="auto"/>
        <w:ind w:left="360" w:hanging="240"/>
      </w:pPr>
      <w:r>
        <w:rPr>
          <w:b/>
          <w:lang w:val="en-US"/>
        </w:rPr>
        <w:t xml:space="preserve">1 tamper-evident seal per sealed tote, carton, or cage:</w:t>
      </w:r>
      <w:r>
        <w:rPr>
          <w:lang w:val="en-US"/>
        </w:rPr>
        <w:t xml:space="preserve"> Use when secured transport, controlled parts, high-value stock, or local policy requires a sealed shipment. Record each seal number on the manifest.</w:t>
      </w:r>
    </w:p>
    <w:p>
      <w:pPr>
        <w:pStyle w:val="ListParagraph"/>
        <w:numPr>
          <w:ilvl w:val="0"/>
          <w:numId w:val="2"/>
        </w:numPr>
        <w:spacing w:line="276" w:lineRule="auto"/>
        <w:ind w:left="360" w:hanging="240"/>
      </w:pPr>
      <w:r>
        <w:rPr>
          <w:b/>
          <w:lang w:val="en-US"/>
        </w:rPr>
        <w:t xml:space="preserve">Barcode scanner or approved mobile scanning device:</w:t>
      </w:r>
      <w:r>
        <w:rPr>
          <w:lang w:val="en-US"/>
        </w:rPr>
        <w:t xml:space="preserve"> Use when the organization's inventory process requires scanning. A camera-based application may be used only if it reliably reads the approved label format.</w:t>
      </w:r>
    </w:p>
    <w:p>
      <w:pPr>
        <w:pStyle w:val="ListParagraph"/>
        <w:numPr>
          <w:ilvl w:val="0"/>
          <w:numId w:val="2"/>
        </w:numPr>
        <w:spacing w:line="276" w:lineRule="auto"/>
        <w:ind w:left="360" w:hanging="240"/>
      </w:pPr>
      <w:r>
        <w:rPr>
          <w:b/>
          <w:lang w:val="en-US"/>
        </w:rPr>
        <w:t xml:space="preserve">Approved inventory-system access:</w:t>
      </w:r>
      <w:r>
        <w:rPr>
          <w:lang w:val="en-US"/>
        </w:rPr>
        <w:t xml:space="preserve"> Use Quill Bulk as the organization's internal template or use the approved enterprise inventory application, as required by local procedure.</w:t>
      </w:r>
    </w:p>
    <w:p>
      <w:pPr>
        <w:pStyle w:val="ListParagraph"/>
        <w:numPr>
          <w:ilvl w:val="0"/>
          <w:numId w:val="2"/>
        </w:numPr>
        <w:spacing w:line="276" w:lineRule="auto"/>
        <w:ind w:left="360" w:hanging="240"/>
      </w:pPr>
      <w:r>
        <w:rPr>
          <w:b/>
          <w:lang w:val="en-US"/>
        </w:rPr>
        <w:t xml:space="preserve">Digital scale:</w:t>
      </w:r>
      <w:r>
        <w:rPr>
          <w:lang w:val="en-US"/>
        </w:rPr>
        <w:t xml:space="preserve"> Optional. Use one scale for a shipment only when sealed bulk packs or weight-verified shipments require a weight check under local procedure. Do not use a scale as a substitute for required item counts or serial-number verification.</w:t>
      </w:r>
    </w:p>
    <w:p>
      <w:pPr>
        <w:pStyle w:val="ListParagraph"/>
        <w:numPr>
          <w:ilvl w:val="0"/>
          <w:numId w:val="2"/>
        </w:numPr>
        <w:spacing w:line="276" w:lineRule="auto"/>
        <w:ind w:left="360" w:hanging="240"/>
      </w:pPr>
      <w:r>
        <w:rPr>
          <w:b/>
          <w:lang w:val="en-US"/>
        </w:rPr>
        <w:t xml:space="preserve">Label printer or contingency marking supplies:</w:t>
      </w:r>
      <w:r>
        <w:rPr>
          <w:lang w:val="en-US"/>
        </w:rPr>
        <w:t xml:space="preserve"> Use a label printer where available. For low-volume contingency use, use a permanent marker and durable blank labels that remain legible throughout transport and receipt.</w:t>
      </w:r>
    </w:p>
    <w:p>
      <w:pPr>
        <w:pStyle w:val="ListParagraph"/>
        <w:numPr>
          <w:ilvl w:val="0"/>
          <w:numId w:val="2"/>
        </w:numPr>
        <w:spacing w:line="276" w:lineRule="auto"/>
        <w:ind w:left="360" w:hanging="240"/>
      </w:pPr>
      <w:r>
        <w:rPr>
          <w:b/>
          <w:lang w:val="en-US"/>
        </w:rPr>
        <w:t xml:space="preserve">Mechanical handling equipment:</w:t>
      </w:r>
      <w:r>
        <w:rPr>
          <w:lang w:val="en-US"/>
        </w:rPr>
        <w:t xml:space="preserve"> Use a trolley, pallet jack, lifting aid, rolling cage, or other approved equipment whenever the load requires it under site handling rules.</w:t>
      </w:r>
    </w:p>
    <w:p>
      <w:pPr>
        <w:pStyle w:val="CalloutTip"/>
        <w:spacing w:after="230" w:line="276" w:lineRule="auto"/>
      </w:pPr>
      <w:r>
        <w:rPr>
          <w:b/>
          <w:lang w:val="en-US"/>
        </w:rPr>
        <w:t xml:space="preserve">Preparation tip:</w:t>
      </w:r>
      <w:r>
        <w:rPr>
          <w:lang w:val="en-US"/>
        </w:rPr>
        <w:t xml:space="preserve"> A reusable depot handoff kit can include blank labels, seals, checklists, a scanner, spare batteries, and approved writing supplies. Confirm that all controlled forms and devices are current before use.</w:t>
      </w:r>
    </w:p>
    <w:p>
      <w:pPr>
        <w:pStyle w:val="Heading2"/>
        <w:outlineLvl w:val="1"/>
      </w:pPr>
      <w:r>
        <w:rPr>
          <w:lang w:val="en-US"/>
        </w:rPr>
        <w:t xml:space="preserve">Safety Considerations</w:t>
      </w:r>
    </w:p>
    <w:p>
      <w:pPr>
        <w:pStyle w:val="Normal"/>
        <w:spacing w:line="276" w:lineRule="auto"/>
      </w:pPr>
      <w:r>
        <w:rPr>
          <w:lang w:val="en-US"/>
        </w:rPr>
        <w:t xml:space="preserve">Inventory accuracy and safe handling must operate together. A transfer is not successfully completed if a worker is injured, a regulated item is mishandled, or a damaged component is placed into available stock.</w:t>
      </w:r>
    </w:p>
    <w:p>
      <w:pPr>
        <w:pStyle w:val="CalloutWarning"/>
        <w:spacing w:after="230" w:line="276" w:lineRule="auto"/>
      </w:pPr>
      <w:r>
        <w:rPr>
          <w:b/>
          <w:lang w:val="en-US"/>
        </w:rPr>
        <w:t xml:space="preserve">Warning:</w:t>
      </w:r>
      <w:r>
        <w:rPr>
          <w:lang w:val="en-US"/>
        </w:rPr>
        <w:t xml:space="preserve"> Do not open damaged packaging until the receiving lead has documented the external condition and determined the appropriate safe-handling method. If contents could be hazardous, leaking, unstable, or otherwise unsafe, isolate the package and follow the applicable site procedure.</w:t>
      </w:r>
    </w:p>
    <w:p>
      <w:pPr>
        <w:pStyle w:val="ListParagraph"/>
        <w:numPr>
          <w:ilvl w:val="0"/>
          <w:numId w:val="3"/>
        </w:numPr>
        <w:spacing w:line="276" w:lineRule="auto"/>
        <w:ind w:left="360" w:hanging="240"/>
      </w:pPr>
      <w:r>
        <w:rPr>
          <w:b/>
          <w:lang w:val="en-US"/>
        </w:rPr>
        <w:t xml:space="preserve">Inspect before lifting.</w:t>
      </w:r>
      <w:r>
        <w:rPr>
          <w:lang w:val="en-US"/>
        </w:rPr>
        <w:t xml:space="preserve"> Check cartons, pallets, totes, and cages for damage, instability, leaks, sharp edges, and shifted loads.</w:t>
      </w:r>
    </w:p>
    <w:p>
      <w:pPr>
        <w:pStyle w:val="ListParagraph"/>
        <w:numPr>
          <w:ilvl w:val="0"/>
          <w:numId w:val="3"/>
        </w:numPr>
        <w:spacing w:line="276" w:lineRule="auto"/>
        <w:ind w:left="360" w:hanging="240"/>
      </w:pPr>
      <w:r>
        <w:rPr>
          <w:b/>
          <w:lang w:val="en-US"/>
        </w:rPr>
        <w:t xml:space="preserve">Use proper lifting controls.</w:t>
      </w:r>
      <w:r>
        <w:rPr>
          <w:lang w:val="en-US"/>
        </w:rPr>
        <w:t xml:space="preserve"> Use mechanical aids, team lifting, or approved handling equipment when required by site rules or the load's characteristics.</w:t>
      </w:r>
    </w:p>
    <w:p>
      <w:pPr>
        <w:pStyle w:val="ListParagraph"/>
        <w:numPr>
          <w:ilvl w:val="0"/>
          <w:numId w:val="3"/>
        </w:numPr>
        <w:spacing w:line="276" w:lineRule="auto"/>
        <w:ind w:left="360" w:hanging="240"/>
      </w:pPr>
      <w:r>
        <w:rPr>
          <w:b/>
          <w:lang w:val="en-US"/>
        </w:rPr>
        <w:t xml:space="preserve">Separate uncertain stock.</w:t>
      </w:r>
      <w:r>
        <w:rPr>
          <w:lang w:val="en-US"/>
        </w:rPr>
        <w:t xml:space="preserve"> Place damaged, expired, unidentifiable, or questionable components in a clearly marked quarantine area. Do not book them into available inventory.</w:t>
      </w:r>
    </w:p>
    <w:p>
      <w:pPr>
        <w:pStyle w:val="ListParagraph"/>
        <w:numPr>
          <w:ilvl w:val="0"/>
          <w:numId w:val="3"/>
        </w:numPr>
        <w:spacing w:line="276" w:lineRule="auto"/>
        <w:ind w:left="360" w:hanging="240"/>
      </w:pPr>
      <w:r>
        <w:rPr>
          <w:b/>
          <w:lang w:val="en-US"/>
        </w:rPr>
        <w:t xml:space="preserve">Protect serialized and controlled items.</w:t>
      </w:r>
      <w:r>
        <w:rPr>
          <w:lang w:val="en-US"/>
        </w:rPr>
        <w:t xml:space="preserve"> Keep high-value, regulated, warranty-sensitive, or security-controlled parts under restricted access until the handoff is complete.</w:t>
      </w:r>
    </w:p>
    <w:p>
      <w:pPr>
        <w:pStyle w:val="ListParagraph"/>
        <w:numPr>
          <w:ilvl w:val="0"/>
          <w:numId w:val="3"/>
        </w:numPr>
        <w:spacing w:line="276" w:lineRule="auto"/>
        <w:ind w:left="360" w:hanging="240"/>
      </w:pPr>
      <w:r>
        <w:rPr>
          <w:b/>
          <w:lang w:val="en-US"/>
        </w:rPr>
        <w:t xml:space="preserve">Follow component-specific requirements.</w:t>
      </w:r>
      <w:r>
        <w:rPr>
          <w:lang w:val="en-US"/>
        </w:rPr>
        <w:t xml:space="preserve"> Follow local rules for batteries, electrostatic-sensitive devices, temperature-sensitive items, chemicals, and protective packaging.</w:t>
      </w:r>
    </w:p>
    <w:p>
      <w:pPr>
        <w:pStyle w:val="ListParagraph"/>
        <w:numPr>
          <w:ilvl w:val="0"/>
          <w:numId w:val="3"/>
        </w:numPr>
        <w:spacing w:line="276" w:lineRule="auto"/>
        <w:ind w:left="360" w:hanging="240"/>
      </w:pPr>
      <w:r>
        <w:rPr>
          <w:b/>
          <w:lang w:val="en-US"/>
        </w:rPr>
        <w:t xml:space="preserve">Maintain appropriate access control.</w:t>
      </w:r>
      <w:r>
        <w:rPr>
          <w:lang w:val="en-US"/>
        </w:rPr>
        <w:t xml:space="preserve"> Limit transfer approval, stock issuance, receipt confirmation, and inventory-adjustment rights according to organizational governance requirements.</w:t>
      </w:r>
    </w:p>
    <w:p>
      <w:pPr>
        <w:pStyle w:val="CalloutNote"/>
        <w:spacing w:after="230" w:line="276" w:lineRule="auto"/>
      </w:pPr>
      <w:r>
        <w:rPr>
          <w:b/>
          <w:lang w:val="en-US"/>
        </w:rPr>
        <w:t xml:space="preserve">Safe failure path:</w:t>
      </w:r>
      <w:r>
        <w:rPr>
          <w:lang w:val="en-US"/>
        </w:rPr>
        <w:t xml:space="preserve"> If a part cannot be safely identified, counted, or stored, stop receipt for that line. Secure the item, record the issue, and escalate it to the accountable inventory owner. Do not treat missing evidence as confirmation that the part is acceptable.</w:t>
      </w:r>
    </w:p>
    <w:p>
      <w:pPr>
        <w:pStyle w:val="Heading2"/>
        <w:outlineLvl w:val="1"/>
      </w:pPr>
      <w:r>
        <w:rPr>
          <w:lang w:val="en-US"/>
        </w:rPr>
        <w:t xml:space="preserve">Step-by-Step Instructions</w:t>
      </w:r>
    </w:p>
    <w:p>
      <w:pPr>
        <w:pStyle w:val="Normal"/>
        <w:spacing w:line="276" w:lineRule="auto"/>
      </w:pPr>
      <w:r>
        <w:rPr>
          <w:lang w:val="en-US"/>
        </w:rPr>
        <w:t xml:space="preserve">Use the following four stages for routine and urgent depot handoffs. Complete the required checks for one stage before proceeding to the next. The sequence is intended to preserve an audit trail while following local urgent-transfer procedures.</w:t>
      </w:r>
    </w:p>
    <w:p>
      <w:pPr>
        <w:pStyle w:val="Heading3"/>
        <w:outlineLvl w:val="2"/>
      </w:pPr>
      <w:r>
        <w:rPr>
          <w:lang w:val="en-US"/>
        </w:rPr>
        <w:t xml:space="preserve">Step 1: Plan and authorize the transfer </w:t>
      </w:r>
      <w:r>
        <w:rPr>
          <w:b/>
          <w:lang w:val="en-US"/>
        </w:rPr>
        <w:t xml:space="preserve">◆ 25% complete</w:t>
      </w:r>
    </w:p>
    <w:p>
      <w:pPr>
        <w:pStyle w:val="Caption"/>
        <w:spacing w:line="276" w:lineRule="auto"/>
        <w:jc w:val="center"/>
      </w:pPr>
      <w:r>
        <w:rPr>
          <w:lang w:val="en-US"/>
        </w:rPr>
        <w:t xml:space="preserve">Visual cue - planned diagram: Approved original artwork should show the authorization path and identify the point at which stock picking may begin.</w:t>
      </w:r>
    </w:p>
    <w:p>
      <w:pPr>
        <w:pStyle w:val="ListParagraph"/>
        <w:numPr>
          <w:ilvl w:val="0"/>
          <w:numId w:val="4"/>
        </w:numPr>
        <w:spacing w:line="276" w:lineRule="auto"/>
        <w:ind w:left="360" w:hanging="240"/>
      </w:pPr>
      <w:r>
        <w:rPr>
          <w:b/>
          <w:lang w:val="en-US"/>
        </w:rPr>
        <w:t xml:space="preserve">Confirm the business need.</w:t>
      </w:r>
      <w:r>
        <w:rPr>
          <w:lang w:val="en-US"/>
        </w:rPr>
        <w:t xml:space="preserve"> </w:t>
      </w:r>
      <w:r>
        <w:rPr>
          <w:lang w:val="en-US"/>
        </w:rPr>
        <w:t xml:space="preserve"> </w:t>
      </w:r>
    </w:p>
    <w:p>
      <w:pPr>
        <w:pStyle w:val="ListParagraph"/>
        <w:numPr>
          <w:ilvl w:val="1"/>
          <w:numId w:val="5"/>
        </w:numPr>
        <w:spacing w:line="276" w:lineRule="auto"/>
        <w:ind w:left="720" w:hanging="240"/>
      </w:pPr>
      <w:r>
        <w:rPr>
          <w:lang w:val="en-US"/>
        </w:rPr>
        <w:t xml:space="preserve">Identify the destination depot, required part lines, requested quantities, and needed-by date.</w:t>
      </w:r>
    </w:p>
    <w:p>
      <w:pPr>
        <w:pStyle w:val="ListParagraph"/>
        <w:numPr>
          <w:ilvl w:val="1"/>
          <w:numId w:val="5"/>
        </w:numPr>
        <w:spacing w:line="276" w:lineRule="auto"/>
        <w:ind w:left="720" w:hanging="240"/>
      </w:pPr>
      <w:r>
        <w:rPr>
          <w:lang w:val="en-US"/>
        </w:rPr>
        <w:t xml:space="preserve">Determine whether the request is replenishment, emergency support, a return, or redistribution.</w:t>
      </w:r>
    </w:p>
    <w:p>
      <w:pPr>
        <w:pStyle w:val="ListParagraph"/>
        <w:numPr>
          <w:ilvl w:val="1"/>
          <w:numId w:val="5"/>
        </w:numPr>
        <w:spacing w:line="276" w:lineRule="auto"/>
        <w:ind w:left="720" w:hanging="240"/>
      </w:pPr>
      <w:r>
        <w:rPr>
          <w:lang w:val="en-US"/>
        </w:rPr>
        <w:t xml:space="preserve">Confirm that the requested parts are appropriate for the destination's service scope and approved stocking profile, where the organization maintains one.</w:t>
      </w:r>
    </w:p>
    <w:p>
      <w:pPr>
        <w:pStyle w:val="ListParagraph"/>
        <w:numPr>
          <w:ilvl w:val="0"/>
          <w:numId w:val="4"/>
        </w:numPr>
        <w:spacing w:line="276" w:lineRule="auto"/>
        <w:ind w:left="360" w:hanging="240"/>
      </w:pPr>
      <w:r>
        <w:rPr>
          <w:b/>
          <w:lang w:val="en-US"/>
        </w:rPr>
        <w:t xml:space="preserve">Create the transfer record.</w:t>
      </w:r>
      <w:r>
        <w:rPr>
          <w:lang w:val="en-US"/>
        </w:rPr>
        <w:t xml:space="preserve"> </w:t>
      </w:r>
      <w:r>
        <w:rPr>
          <w:lang w:val="en-US"/>
        </w:rPr>
        <w:t xml:space="preserve"> </w:t>
      </w:r>
    </w:p>
    <w:p>
      <w:pPr>
        <w:pStyle w:val="ListParagraph"/>
        <w:numPr>
          <w:ilvl w:val="1"/>
          <w:numId w:val="6"/>
        </w:numPr>
        <w:spacing w:line="276" w:lineRule="auto"/>
        <w:ind w:left="720" w:hanging="240"/>
      </w:pPr>
      <w:r>
        <w:rPr>
          <w:lang w:val="en-US"/>
        </w:rPr>
        <w:t xml:space="preserve">Generate one unique Quill Bulk transfer reference under the approved organizational process.</w:t>
      </w:r>
    </w:p>
    <w:p>
      <w:pPr>
        <w:pStyle w:val="ListParagraph"/>
        <w:numPr>
          <w:ilvl w:val="1"/>
          <w:numId w:val="6"/>
        </w:numPr>
        <w:spacing w:line="276" w:lineRule="auto"/>
        <w:ind w:left="720" w:hanging="240"/>
      </w:pPr>
      <w:r>
        <w:rPr>
          <w:lang w:val="en-US"/>
        </w:rPr>
        <w:t xml:space="preserve">Record the source location, destination depot, requester, planned dispatch method, and intended receiving custodian.</w:t>
      </w:r>
    </w:p>
    <w:p>
      <w:pPr>
        <w:pStyle w:val="ListParagraph"/>
        <w:numPr>
          <w:ilvl w:val="1"/>
          <w:numId w:val="6"/>
        </w:numPr>
        <w:spacing w:line="276" w:lineRule="auto"/>
        <w:ind w:left="720" w:hanging="240"/>
      </w:pPr>
      <w:r>
        <w:rPr>
          <w:lang w:val="en-US"/>
        </w:rPr>
        <w:t xml:space="preserve">List each item using the approved part number, description, unit of measure, quantity, and condition. Record revision and serial number when local controls require them.</w:t>
      </w:r>
    </w:p>
    <w:p>
      <w:pPr>
        <w:pStyle w:val="ListParagraph"/>
        <w:numPr>
          <w:ilvl w:val="0"/>
          <w:numId w:val="4"/>
        </w:numPr>
        <w:spacing w:line="276" w:lineRule="auto"/>
        <w:ind w:left="360" w:hanging="240"/>
      </w:pPr>
      <w:r>
        <w:rPr>
          <w:b/>
          <w:lang w:val="en-US"/>
        </w:rPr>
        <w:t xml:space="preserve">Obtain authorization before picking stock.</w:t>
      </w:r>
      <w:r>
        <w:rPr>
          <w:lang w:val="en-US"/>
        </w:rPr>
        <w:t xml:space="preserve"> </w:t>
      </w:r>
      <w:r>
        <w:rPr>
          <w:lang w:val="en-US"/>
        </w:rPr>
        <w:t xml:space="preserve"> </w:t>
      </w:r>
    </w:p>
    <w:p>
      <w:pPr>
        <w:pStyle w:val="ListParagraph"/>
        <w:numPr>
          <w:ilvl w:val="1"/>
          <w:numId w:val="7"/>
        </w:numPr>
        <w:spacing w:line="276" w:lineRule="auto"/>
        <w:ind w:left="720" w:hanging="240"/>
      </w:pPr>
      <w:r>
        <w:rPr>
          <w:lang w:val="en-US"/>
        </w:rPr>
        <w:t xml:space="preserve">For this guide, the </w:t>
      </w:r>
      <w:r>
        <w:rPr>
          <w:b/>
          <w:lang w:val="en-US"/>
        </w:rPr>
        <w:t xml:space="preserve">approving authority</w:t>
      </w:r>
      <w:r>
        <w:rPr>
          <w:lang w:val="en-US"/>
        </w:rPr>
        <w:t xml:space="preserve"> is the person or role authorized by the organization to approve the stock movement. Depending on local policy, this may be an inventory manager, depot manager, service manager, controlled-parts custodian, or designated delegate.</w:t>
      </w:r>
    </w:p>
    <w:p>
      <w:pPr>
        <w:pStyle w:val="ListParagraph"/>
        <w:numPr>
          <w:ilvl w:val="1"/>
          <w:numId w:val="7"/>
        </w:numPr>
        <w:spacing w:line="276" w:lineRule="auto"/>
        <w:ind w:left="720" w:hanging="240"/>
      </w:pPr>
      <w:r>
        <w:rPr>
          <w:lang w:val="en-US"/>
        </w:rPr>
        <w:t xml:space="preserve">Verify that the approval covers the destination, part lines, quantities, movement purpose, and any special handling or controlled-item requirements.</w:t>
      </w:r>
    </w:p>
    <w:p>
      <w:pPr>
        <w:pStyle w:val="ListParagraph"/>
        <w:numPr>
          <w:ilvl w:val="1"/>
          <w:numId w:val="7"/>
        </w:numPr>
        <w:spacing w:line="276" w:lineRule="auto"/>
        <w:ind w:left="720" w:hanging="240"/>
      </w:pPr>
      <w:r>
        <w:rPr>
          <w:lang w:val="en-US"/>
        </w:rPr>
        <w:t xml:space="preserve">If approval is unavailable, incomplete, expired, or unclear, hold the request as </w:t>
      </w:r>
      <w:r>
        <w:rPr>
          <w:b/>
          <w:lang w:val="en-US"/>
        </w:rPr>
        <w:t xml:space="preserve">unapproved</w:t>
      </w:r>
      <w:r>
        <w:rPr>
          <w:lang w:val="en-US"/>
        </w:rPr>
        <w:t xml:space="preserve">. Do not pick stock, reserve stock, or release containers until the appropriate authority provides documented approval.</w:t>
      </w:r>
    </w:p>
    <w:p>
      <w:pPr>
        <w:pStyle w:val="ListParagraph"/>
        <w:numPr>
          <w:ilvl w:val="0"/>
          <w:numId w:val="4"/>
        </w:numPr>
        <w:spacing w:line="276" w:lineRule="auto"/>
        <w:ind w:left="360" w:hanging="240"/>
      </w:pPr>
      <w:r>
        <w:rPr>
          <w:b/>
          <w:lang w:val="en-US"/>
        </w:rPr>
        <w:t xml:space="preserve">Assign custody.</w:t>
      </w:r>
      <w:r>
        <w:rPr>
          <w:lang w:val="en-US"/>
        </w:rPr>
        <w:t xml:space="preserve"> </w:t>
      </w:r>
      <w:r>
        <w:rPr>
          <w:lang w:val="en-US"/>
        </w:rPr>
        <w:t xml:space="preserve"> </w:t>
      </w:r>
    </w:p>
    <w:p>
      <w:pPr>
        <w:pStyle w:val="ListParagraph"/>
        <w:numPr>
          <w:ilvl w:val="1"/>
          <w:numId w:val="8"/>
        </w:numPr>
        <w:spacing w:line="276" w:lineRule="auto"/>
        <w:ind w:left="720" w:hanging="240"/>
      </w:pPr>
      <w:r>
        <w:rPr>
          <w:lang w:val="en-US"/>
        </w:rPr>
        <w:t xml:space="preserve">Name the sending inventory custodian and receiving depot custodian in the transfer record.</w:t>
      </w:r>
    </w:p>
    <w:p>
      <w:pPr>
        <w:pStyle w:val="ListParagraph"/>
        <w:numPr>
          <w:ilvl w:val="1"/>
          <w:numId w:val="8"/>
        </w:numPr>
        <w:spacing w:line="276" w:lineRule="auto"/>
        <w:ind w:left="720" w:hanging="240"/>
      </w:pPr>
      <w:r>
        <w:rPr>
          <w:lang w:val="en-US"/>
        </w:rPr>
        <w:t xml:space="preserve">For carrier movements, record the custody handoff point and transport responsibility under local procedure.</w:t>
      </w:r>
    </w:p>
    <w:p>
      <w:pPr>
        <w:pStyle w:val="Normal"/>
        <w:spacing w:line="276" w:lineRule="auto"/>
      </w:pPr>
      <w:r>
        <w:rPr>
          <w:b/>
          <w:lang w:val="en-US"/>
        </w:rPr>
        <w:t xml:space="preserve">Success check:</w:t>
      </w:r>
      <w:r>
        <w:rPr>
          <w:lang w:val="en-US"/>
        </w:rPr>
        <w:t xml:space="preserve"> Before stock is picked, you have a documented approval, a complete manifest, a destination depot, named custodians, and a unique transfer reference.</w:t>
      </w:r>
    </w:p>
    <w:p>
      <w:pPr>
        <w:pStyle w:val="CalloutWarning"/>
        <w:spacing w:after="230" w:line="276" w:lineRule="auto"/>
      </w:pPr>
      <w:r>
        <w:rPr>
          <w:b/>
          <w:lang w:val="en-US"/>
        </w:rPr>
        <w:t xml:space="preserve">Identification control:</w:t>
      </w:r>
      <w:r>
        <w:rPr>
          <w:lang w:val="en-US"/>
        </w:rPr>
        <w:t xml:space="preserve"> Do not use a free-text description as the primary item identifier. Similar-looking components may have different specifications, revisions, or compatibility requirements. Use the approved part number and required serial or revision information.</w:t>
      </w:r>
    </w:p>
    <w:p>
      <w:pPr>
        <w:pStyle w:val="Heading3"/>
        <w:outlineLvl w:val="2"/>
      </w:pPr>
      <w:r>
        <w:rPr>
          <w:lang w:val="en-US"/>
        </w:rPr>
        <w:t xml:space="preserve">Step 2: Pick, verify, and package the stock </w:t>
      </w:r>
      <w:r>
        <w:rPr>
          <w:b/>
          <w:lang w:val="en-US"/>
        </w:rPr>
        <w:t xml:space="preserve">◆ 50% complete</w:t>
      </w:r>
    </w:p>
    <w:p>
      <w:pPr>
        <w:pStyle w:val="Caption"/>
        <w:spacing w:line="276" w:lineRule="auto"/>
        <w:jc w:val="center"/>
      </w:pPr>
      <w:r>
        <w:rPr>
          <w:lang w:val="en-US"/>
        </w:rPr>
        <w:t xml:space="preserve">Before-handoff photo - production placeholder: Insert approved original photography of the sealed and labeled shipment beside the transfer reference or manifest. The image should show container condition and container count without displaying confidential customer or employee information.</w:t>
      </w:r>
    </w:p>
    <w:p>
      <w:pPr>
        <w:pStyle w:val="Caption"/>
        <w:spacing w:line="276" w:lineRule="auto"/>
        <w:jc w:val="center"/>
      </w:pPr>
      <w:r>
        <w:rPr>
          <w:lang w:val="en-US"/>
        </w:rPr>
        <w:t xml:space="preserve">Visual cue - planned label example: Approved original artwork should show a correctly completed destination label, including "1 of 3" container sequencing.</w:t>
      </w:r>
    </w:p>
    <w:p>
      <w:pPr>
        <w:pStyle w:val="ListParagraph"/>
        <w:numPr>
          <w:ilvl w:val="0"/>
          <w:numId w:val="9"/>
        </w:numPr>
        <w:spacing w:line="276" w:lineRule="auto"/>
        <w:ind w:left="360" w:hanging="240"/>
      </w:pPr>
      <w:r>
        <w:rPr>
          <w:b/>
          <w:lang w:val="en-US"/>
        </w:rPr>
        <w:t xml:space="preserve">Pick against the manifest.</w:t>
      </w:r>
      <w:r>
        <w:rPr>
          <w:lang w:val="en-US"/>
        </w:rPr>
        <w:t xml:space="preserve"> </w:t>
      </w:r>
      <w:r>
        <w:rPr>
          <w:lang w:val="en-US"/>
        </w:rPr>
        <w:t xml:space="preserve"> </w:t>
      </w:r>
    </w:p>
    <w:p>
      <w:pPr>
        <w:pStyle w:val="ListParagraph"/>
        <w:numPr>
          <w:ilvl w:val="1"/>
          <w:numId w:val="10"/>
        </w:numPr>
        <w:spacing w:line="276" w:lineRule="auto"/>
        <w:ind w:left="720" w:hanging="240"/>
      </w:pPr>
      <w:r>
        <w:rPr>
          <w:lang w:val="en-US"/>
        </w:rPr>
        <w:t xml:space="preserve">Retrieve each item from the approved source location.</w:t>
      </w:r>
    </w:p>
    <w:p>
      <w:pPr>
        <w:pStyle w:val="ListParagraph"/>
        <w:numPr>
          <w:ilvl w:val="1"/>
          <w:numId w:val="10"/>
        </w:numPr>
        <w:spacing w:line="276" w:lineRule="auto"/>
        <w:ind w:left="720" w:hanging="240"/>
      </w:pPr>
      <w:r>
        <w:rPr>
          <w:lang w:val="en-US"/>
        </w:rPr>
        <w:t xml:space="preserve">Scan or otherwise verify the approved part number before placing the item in the transfer container.</w:t>
      </w:r>
    </w:p>
    <w:p>
      <w:pPr>
        <w:pStyle w:val="ListParagraph"/>
        <w:numPr>
          <w:ilvl w:val="1"/>
          <w:numId w:val="10"/>
        </w:numPr>
        <w:spacing w:line="276" w:lineRule="auto"/>
        <w:ind w:left="720" w:hanging="240"/>
      </w:pPr>
      <w:r>
        <w:rPr>
          <w:lang w:val="en-US"/>
        </w:rPr>
        <w:t xml:space="preserve">For serialized parts, record every serial number required by organizational controls.</w:t>
      </w:r>
    </w:p>
    <w:p>
      <w:pPr>
        <w:pStyle w:val="ListParagraph"/>
        <w:numPr>
          <w:ilvl w:val="0"/>
          <w:numId w:val="9"/>
        </w:numPr>
        <w:spacing w:line="276" w:lineRule="auto"/>
        <w:ind w:left="360" w:hanging="240"/>
      </w:pPr>
      <w:r>
        <w:rPr>
          <w:b/>
          <w:lang w:val="en-US"/>
        </w:rPr>
        <w:t xml:space="preserve">Perform the required quantity verification.</w:t>
      </w:r>
      <w:r>
        <w:rPr>
          <w:lang w:val="en-US"/>
        </w:rPr>
        <w:t xml:space="preserve"> </w:t>
      </w:r>
      <w:r>
        <w:rPr>
          <w:lang w:val="en-US"/>
        </w:rPr>
        <w:t xml:space="preserve"> </w:t>
      </w:r>
    </w:p>
    <w:p>
      <w:pPr>
        <w:pStyle w:val="ListParagraph"/>
        <w:numPr>
          <w:ilvl w:val="1"/>
          <w:numId w:val="11"/>
        </w:numPr>
        <w:spacing w:line="276" w:lineRule="auto"/>
        <w:ind w:left="720" w:hanging="240"/>
      </w:pPr>
      <w:r>
        <w:rPr>
          <w:lang w:val="en-US"/>
        </w:rPr>
        <w:t xml:space="preserve">Use a second authorized person to verify quantities when segregation of duties applies.</w:t>
      </w:r>
    </w:p>
    <w:p>
      <w:pPr>
        <w:pStyle w:val="ListParagraph"/>
        <w:numPr>
          <w:ilvl w:val="1"/>
          <w:numId w:val="11"/>
        </w:numPr>
        <w:spacing w:line="276" w:lineRule="auto"/>
        <w:ind w:left="720" w:hanging="240"/>
      </w:pPr>
      <w:r>
        <w:rPr>
          <w:lang w:val="en-US"/>
        </w:rPr>
        <w:t xml:space="preserve">For sealed bulk packs, confirm the pack size and number of packs rather than estimating loose units.</w:t>
      </w:r>
    </w:p>
    <w:p>
      <w:pPr>
        <w:pStyle w:val="ListParagraph"/>
        <w:numPr>
          <w:ilvl w:val="1"/>
          <w:numId w:val="11"/>
        </w:numPr>
        <w:spacing w:line="276" w:lineRule="auto"/>
        <w:ind w:left="720" w:hanging="240"/>
      </w:pPr>
      <w:r>
        <w:rPr>
          <w:lang w:val="en-US"/>
        </w:rPr>
        <w:t xml:space="preserve">Use a scale only when the shipment is designated for weight verification. Record the weight check according to local procedure, but do not replace a required count with an unverified weight estimate.</w:t>
      </w:r>
    </w:p>
    <w:p>
      <w:pPr>
        <w:pStyle w:val="ListParagraph"/>
        <w:numPr>
          <w:ilvl w:val="1"/>
          <w:numId w:val="11"/>
        </w:numPr>
        <w:spacing w:line="276" w:lineRule="auto"/>
        <w:ind w:left="720" w:hanging="240"/>
      </w:pPr>
      <w:r>
        <w:rPr>
          <w:lang w:val="en-US"/>
        </w:rPr>
        <w:t xml:space="preserve">Mark any short pick immediately. Do not substitute a different item without documented authorization.</w:t>
      </w:r>
    </w:p>
    <w:p>
      <w:pPr>
        <w:pStyle w:val="ListParagraph"/>
        <w:numPr>
          <w:ilvl w:val="0"/>
          <w:numId w:val="9"/>
        </w:numPr>
        <w:spacing w:line="276" w:lineRule="auto"/>
        <w:ind w:left="360" w:hanging="240"/>
      </w:pPr>
      <w:r>
        <w:rPr>
          <w:b/>
          <w:lang w:val="en-US"/>
        </w:rPr>
        <w:t xml:space="preserve">Package and label the transfer.</w:t>
      </w:r>
      <w:r>
        <w:rPr>
          <w:lang w:val="en-US"/>
        </w:rPr>
        <w:t xml:space="preserve"> </w:t>
      </w:r>
      <w:r>
        <w:rPr>
          <w:lang w:val="en-US"/>
        </w:rPr>
        <w:t xml:space="preserve"> </w:t>
      </w:r>
    </w:p>
    <w:p>
      <w:pPr>
        <w:pStyle w:val="ListParagraph"/>
        <w:numPr>
          <w:ilvl w:val="1"/>
          <w:numId w:val="12"/>
        </w:numPr>
        <w:spacing w:line="276" w:lineRule="auto"/>
        <w:ind w:left="720" w:hanging="240"/>
      </w:pPr>
      <w:r>
        <w:rPr>
          <w:lang w:val="en-US"/>
        </w:rPr>
        <w:t xml:space="preserve">Use packaging that protects fragile, sensitive, high-value, or regulated components throughout transport and normal handling.</w:t>
      </w:r>
    </w:p>
    <w:p>
      <w:pPr>
        <w:pStyle w:val="ListParagraph"/>
        <w:numPr>
          <w:ilvl w:val="1"/>
          <w:numId w:val="12"/>
        </w:numPr>
        <w:spacing w:line="276" w:lineRule="auto"/>
        <w:ind w:left="720" w:hanging="240"/>
      </w:pPr>
      <w:r>
        <w:rPr>
          <w:lang w:val="en-US"/>
        </w:rPr>
        <w:t xml:space="preserve">Label each container with the destination depot, transfer reference, and sequence number.</w:t>
      </w:r>
    </w:p>
    <w:p>
      <w:pPr>
        <w:pStyle w:val="ListParagraph"/>
        <w:numPr>
          <w:ilvl w:val="1"/>
          <w:numId w:val="12"/>
        </w:numPr>
        <w:spacing w:line="276" w:lineRule="auto"/>
        <w:ind w:left="720" w:hanging="240"/>
      </w:pPr>
      <w:r>
        <w:rPr>
          <w:lang w:val="en-US"/>
        </w:rPr>
        <w:t xml:space="preserve">Apply tamper-evident seals when required and record seal numbers on the manifest.</w:t>
      </w:r>
    </w:p>
    <w:p>
      <w:pPr>
        <w:pStyle w:val="ListParagraph"/>
        <w:numPr>
          <w:ilvl w:val="1"/>
          <w:numId w:val="12"/>
        </w:numPr>
        <w:spacing w:line="276" w:lineRule="auto"/>
        <w:ind w:left="720" w:hanging="240"/>
      </w:pPr>
      <w:r>
        <w:rPr>
          <w:lang w:val="en-US"/>
        </w:rPr>
        <w:t xml:space="preserve">Keep condition-specific items separated and labeled so that repairable, quarantined, returned, and serviceable stock cannot be confused.</w:t>
      </w:r>
    </w:p>
    <w:p>
      <w:pPr>
        <w:pStyle w:val="Normal"/>
        <w:spacing w:line="276" w:lineRule="auto"/>
      </w:pPr>
      <w:r>
        <w:rPr>
          <w:b/>
          <w:lang w:val="en-US"/>
        </w:rPr>
        <w:t xml:space="preserve">Before-handoff photo requirement:</w:t>
      </w:r>
      <w:r>
        <w:rPr>
          <w:lang w:val="en-US"/>
        </w:rPr>
        <w:t xml:space="preserve"> When photo evidence is part of local control requirements, use the approved original photography described in the production placeholder above. The image is a visual complement to the manifest and does not replace required physical verification, labels, seals, or system records.</w:t>
      </w:r>
    </w:p>
    <w:p>
      <w:pPr>
        <w:pStyle w:val="Normal"/>
        <w:spacing w:line="276" w:lineRule="auto"/>
      </w:pPr>
      <w:r>
        <w:rPr>
          <w:b/>
          <w:lang w:val="en-US"/>
        </w:rPr>
        <w:t xml:space="preserve">Success check:</w:t>
      </w:r>
      <w:r>
        <w:rPr>
          <w:lang w:val="en-US"/>
        </w:rPr>
        <w:t xml:space="preserve"> Every packed line can be traced to the manifest, the shipment is protected for its handling requirements, and every container is labeled for the correct regional depot.</w:t>
      </w:r>
    </w:p>
    <w:p>
      <w:pPr>
        <w:pStyle w:val="Heading3"/>
        <w:outlineLvl w:val="2"/>
      </w:pPr>
      <w:r>
        <w:rPr>
          <w:lang w:val="en-US"/>
        </w:rPr>
        <w:t xml:space="preserve">Step 3: Release and transport the transfer </w:t>
      </w:r>
      <w:r>
        <w:rPr>
          <w:b/>
          <w:lang w:val="en-US"/>
        </w:rPr>
        <w:t xml:space="preserve">◆ 75% complete</w:t>
      </w:r>
    </w:p>
    <w:p>
      <w:pPr>
        <w:pStyle w:val="Caption"/>
        <w:spacing w:line="276" w:lineRule="auto"/>
        <w:jc w:val="center"/>
      </w:pPr>
      <w:r>
        <w:rPr>
          <w:lang w:val="en-US"/>
        </w:rPr>
        <w:t xml:space="preserve">Visual cue - planned release checklist: Approved original artwork should show the final release checks before the shipment leaves the sending location.</w:t>
      </w:r>
    </w:p>
    <w:p>
      <w:pPr>
        <w:pStyle w:val="ListParagraph"/>
        <w:numPr>
          <w:ilvl w:val="0"/>
          <w:numId w:val="13"/>
        </w:numPr>
        <w:spacing w:line="276" w:lineRule="auto"/>
        <w:ind w:left="360" w:hanging="240"/>
      </w:pPr>
      <w:r>
        <w:rPr>
          <w:b/>
          <w:lang w:val="en-US"/>
        </w:rPr>
        <w:t xml:space="preserve">Reconcile the release.</w:t>
      </w:r>
      <w:r>
        <w:rPr>
          <w:lang w:val="en-US"/>
        </w:rPr>
        <w:t xml:space="preserve"> </w:t>
      </w:r>
      <w:r>
        <w:rPr>
          <w:lang w:val="en-US"/>
        </w:rPr>
        <w:t xml:space="preserve"> </w:t>
      </w:r>
    </w:p>
    <w:p>
      <w:pPr>
        <w:pStyle w:val="ListParagraph"/>
        <w:numPr>
          <w:ilvl w:val="1"/>
          <w:numId w:val="14"/>
        </w:numPr>
        <w:spacing w:line="276" w:lineRule="auto"/>
        <w:ind w:left="720" w:hanging="240"/>
      </w:pPr>
      <w:r>
        <w:rPr>
          <w:lang w:val="en-US"/>
        </w:rPr>
        <w:t xml:space="preserve">Compare the packed containers with the transfer manifest one final time.</w:t>
      </w:r>
    </w:p>
    <w:p>
      <w:pPr>
        <w:pStyle w:val="ListParagraph"/>
        <w:numPr>
          <w:ilvl w:val="1"/>
          <w:numId w:val="14"/>
        </w:numPr>
        <w:spacing w:line="276" w:lineRule="auto"/>
        <w:ind w:left="720" w:hanging="240"/>
      </w:pPr>
      <w:r>
        <w:rPr>
          <w:lang w:val="en-US"/>
        </w:rPr>
        <w:t xml:space="preserve">Confirm that the source inventory record reflects stock committed, transferred, or otherwise statused according to the approved process.</w:t>
      </w:r>
    </w:p>
    <w:p>
      <w:pPr>
        <w:pStyle w:val="ListParagraph"/>
        <w:numPr>
          <w:ilvl w:val="1"/>
          <w:numId w:val="14"/>
        </w:numPr>
        <w:spacing w:line="276" w:lineRule="auto"/>
        <w:ind w:left="720" w:hanging="240"/>
      </w:pPr>
      <w:r>
        <w:rPr>
          <w:lang w:val="en-US"/>
        </w:rPr>
        <w:t xml:space="preserve">Where the inventory system supports an in-transit status, keep it distinct from available stock until receipt is confirmed.</w:t>
      </w:r>
    </w:p>
    <w:p>
      <w:pPr>
        <w:pStyle w:val="ListParagraph"/>
        <w:numPr>
          <w:ilvl w:val="0"/>
          <w:numId w:val="13"/>
        </w:numPr>
        <w:spacing w:line="276" w:lineRule="auto"/>
        <w:ind w:left="360" w:hanging="240"/>
      </w:pPr>
      <w:r>
        <w:rPr>
          <w:b/>
          <w:lang w:val="en-US"/>
        </w:rPr>
        <w:t xml:space="preserve">Hand over custody.</w:t>
      </w:r>
      <w:r>
        <w:rPr>
          <w:lang w:val="en-US"/>
        </w:rPr>
        <w:t xml:space="preserve"> </w:t>
      </w:r>
      <w:r>
        <w:rPr>
          <w:lang w:val="en-US"/>
        </w:rPr>
        <w:t xml:space="preserve"> </w:t>
      </w:r>
    </w:p>
    <w:p>
      <w:pPr>
        <w:pStyle w:val="ListParagraph"/>
        <w:numPr>
          <w:ilvl w:val="1"/>
          <w:numId w:val="15"/>
        </w:numPr>
        <w:spacing w:line="276" w:lineRule="auto"/>
        <w:ind w:left="720" w:hanging="240"/>
      </w:pPr>
      <w:r>
        <w:rPr>
          <w:lang w:val="en-US"/>
        </w:rPr>
        <w:t xml:space="preserve">Obtain the carrier, courier, or receiving representative's acknowledgement when required.</w:t>
      </w:r>
    </w:p>
    <w:p>
      <w:pPr>
        <w:pStyle w:val="ListParagraph"/>
        <w:numPr>
          <w:ilvl w:val="1"/>
          <w:numId w:val="15"/>
        </w:numPr>
        <w:spacing w:line="276" w:lineRule="auto"/>
        <w:ind w:left="720" w:hanging="240"/>
      </w:pPr>
      <w:r>
        <w:rPr>
          <w:lang w:val="en-US"/>
        </w:rPr>
        <w:t xml:space="preserve">Provide the transfer reference and expected container count to the receiving depot before arrival.</w:t>
      </w:r>
    </w:p>
    <w:p>
      <w:pPr>
        <w:pStyle w:val="ListParagraph"/>
        <w:numPr>
          <w:ilvl w:val="1"/>
          <w:numId w:val="15"/>
        </w:numPr>
        <w:spacing w:line="276" w:lineRule="auto"/>
        <w:ind w:left="720" w:hanging="240"/>
      </w:pPr>
      <w:r>
        <w:rPr>
          <w:lang w:val="en-US"/>
        </w:rPr>
        <w:t xml:space="preserve">Communicate special storage, security, condition, or handling requirements directly to the recipient.</w:t>
      </w:r>
    </w:p>
    <w:p>
      <w:pPr>
        <w:pStyle w:val="ListParagraph"/>
        <w:numPr>
          <w:ilvl w:val="1"/>
          <w:numId w:val="15"/>
        </w:numPr>
        <w:spacing w:line="276" w:lineRule="auto"/>
        <w:ind w:left="720" w:hanging="240"/>
      </w:pPr>
      <w:r>
        <w:rPr>
          <w:lang w:val="en-US"/>
        </w:rPr>
        <w:t xml:space="preserve">Record the date, time, and handoff point when the local process requires chain-of-custody evidence.</w:t>
      </w:r>
    </w:p>
    <w:p>
      <w:pPr>
        <w:pStyle w:val="ListParagraph"/>
        <w:numPr>
          <w:ilvl w:val="0"/>
          <w:numId w:val="13"/>
        </w:numPr>
        <w:spacing w:line="276" w:lineRule="auto"/>
        <w:ind w:left="360" w:hanging="240"/>
      </w:pPr>
      <w:r>
        <w:rPr>
          <w:b/>
          <w:lang w:val="en-US"/>
        </w:rPr>
        <w:t xml:space="preserve">Use the urgent-transfer path without bypassing records.</w:t>
      </w:r>
      <w:r>
        <w:rPr>
          <w:lang w:val="en-US"/>
        </w:rPr>
        <w:t xml:space="preserve"> </w:t>
      </w:r>
      <w:r>
        <w:rPr>
          <w:lang w:val="en-US"/>
        </w:rPr>
        <w:t xml:space="preserve"> </w:t>
      </w:r>
    </w:p>
    <w:p>
      <w:pPr>
        <w:pStyle w:val="ListParagraph"/>
        <w:numPr>
          <w:ilvl w:val="1"/>
          <w:numId w:val="16"/>
        </w:numPr>
        <w:spacing w:line="276" w:lineRule="auto"/>
        <w:ind w:left="720" w:hanging="240"/>
      </w:pPr>
      <w:r>
        <w:rPr>
          <w:lang w:val="en-US"/>
        </w:rPr>
        <w:t xml:space="preserve">When an emergency movement uses an accelerated approval route, identify the applicable approving authority and retain the transfer reference.</w:t>
      </w:r>
    </w:p>
    <w:p>
      <w:pPr>
        <w:pStyle w:val="ListParagraph"/>
        <w:numPr>
          <w:ilvl w:val="1"/>
          <w:numId w:val="16"/>
        </w:numPr>
        <w:spacing w:line="276" w:lineRule="auto"/>
        <w:ind w:left="720" w:hanging="240"/>
      </w:pPr>
      <w:r>
        <w:rPr>
          <w:lang w:val="en-US"/>
        </w:rPr>
        <w:t xml:space="preserve">Notify the receiving depot of the expedited status and any verification that must occur immediately on arrival.</w:t>
      </w:r>
    </w:p>
    <w:p>
      <w:pPr>
        <w:pStyle w:val="ListParagraph"/>
        <w:numPr>
          <w:ilvl w:val="1"/>
          <w:numId w:val="16"/>
        </w:numPr>
        <w:spacing w:line="276" w:lineRule="auto"/>
        <w:ind w:left="720" w:hanging="240"/>
      </w:pPr>
      <w:r>
        <w:rPr>
          <w:lang w:val="en-US"/>
        </w:rPr>
        <w:t xml:space="preserve">If a required record cannot be created before dispatch, follow the organization's documented emergency procedure. Do not invent a replacement process.</w:t>
      </w:r>
    </w:p>
    <w:p>
      <w:pPr>
        <w:pStyle w:val="Normal"/>
        <w:spacing w:line="276" w:lineRule="auto"/>
      </w:pPr>
      <w:r>
        <w:rPr>
          <w:b/>
          <w:lang w:val="en-US"/>
        </w:rPr>
        <w:t xml:space="preserve">Success check:</w:t>
      </w:r>
      <w:r>
        <w:rPr>
          <w:lang w:val="en-US"/>
        </w:rPr>
        <w:t xml:space="preserve"> The destination depot knows what is arriving, how many containers to expect, who is authorized to receive them, and whether any special handling applies.</w:t>
      </w:r>
    </w:p>
    <w:p>
      <w:pPr>
        <w:pStyle w:val="CalloutTip"/>
        <w:spacing w:after="230" w:line="276" w:lineRule="auto"/>
      </w:pPr>
      <w:r>
        <w:rPr>
          <w:b/>
          <w:lang w:val="en-US"/>
        </w:rPr>
        <w:t xml:space="preserve">Practical tip:</w:t>
      </w:r>
      <w:r>
        <w:rPr>
          <w:lang w:val="en-US"/>
        </w:rPr>
        <w:t xml:space="preserve"> Treat the transfer reference as the shared operational language for the handoff. It should appear on the manifest, labels, receipt confirmation, discrepancy record, and follow-up communications.</w:t>
      </w:r>
    </w:p>
    <w:p>
      <w:pPr>
        <w:pStyle w:val="Heading3"/>
        <w:outlineLvl w:val="2"/>
      </w:pPr>
      <w:r>
        <w:rPr>
          <w:lang w:val="en-US"/>
        </w:rPr>
        <w:t xml:space="preserve">Step 4: Receive, reconcile, and close the handoff </w:t>
      </w:r>
      <w:r>
        <w:rPr>
          <w:b/>
          <w:lang w:val="en-US"/>
        </w:rPr>
        <w:t xml:space="preserve">◆ 100% complete</w:t>
      </w:r>
    </w:p>
    <w:p>
      <w:pPr>
        <w:pStyle w:val="Caption"/>
        <w:spacing w:line="276" w:lineRule="auto"/>
        <w:jc w:val="center"/>
      </w:pPr>
      <w:r>
        <w:rPr>
          <w:lang w:val="en-US"/>
        </w:rPr>
        <w:t xml:space="preserve">After-receipt photo - production placeholder: Insert approved original photography showing the labeled containers or accepted stock in the designated depot location. Do not show confidential data or use the photo as a substitute for the receipt record.</w:t>
      </w:r>
    </w:p>
    <w:p>
      <w:pPr>
        <w:pStyle w:val="Caption"/>
        <w:spacing w:line="276" w:lineRule="auto"/>
        <w:jc w:val="center"/>
      </w:pPr>
      <w:r>
        <w:rPr>
          <w:lang w:val="en-US"/>
        </w:rPr>
        <w:t xml:space="preserve">Visual cue - planned receiving-screen illustration: Approved original artwork should help a beginner verify the required receipt fields before closing the transfer.</w:t>
      </w:r>
    </w:p>
    <w:p>
      <w:pPr>
        <w:pStyle w:val="ListParagraph"/>
        <w:numPr>
          <w:ilvl w:val="0"/>
          <w:numId w:val="17"/>
        </w:numPr>
        <w:spacing w:line="276" w:lineRule="auto"/>
        <w:ind w:left="360" w:hanging="240"/>
      </w:pPr>
      <w:r>
        <w:rPr>
          <w:b/>
          <w:lang w:val="en-US"/>
        </w:rPr>
        <w:t xml:space="preserve">Inspect the shipment on arrival.</w:t>
      </w:r>
      <w:r>
        <w:rPr>
          <w:lang w:val="en-US"/>
        </w:rPr>
        <w:t xml:space="preserve"> </w:t>
      </w:r>
      <w:r>
        <w:rPr>
          <w:lang w:val="en-US"/>
        </w:rPr>
        <w:t xml:space="preserve"> </w:t>
      </w:r>
    </w:p>
    <w:p>
      <w:pPr>
        <w:pStyle w:val="ListParagraph"/>
        <w:numPr>
          <w:ilvl w:val="1"/>
          <w:numId w:val="18"/>
        </w:numPr>
        <w:spacing w:line="276" w:lineRule="auto"/>
        <w:ind w:left="720" w:hanging="240"/>
      </w:pPr>
      <w:r>
        <w:rPr>
          <w:lang w:val="en-US"/>
        </w:rPr>
        <w:t xml:space="preserve">Check container count, labels, seals, and visible packaging condition before opening.</w:t>
      </w:r>
    </w:p>
    <w:p>
      <w:pPr>
        <w:pStyle w:val="ListParagraph"/>
        <w:numPr>
          <w:ilvl w:val="1"/>
          <w:numId w:val="18"/>
        </w:numPr>
        <w:spacing w:line="276" w:lineRule="auto"/>
        <w:ind w:left="720" w:hanging="240"/>
      </w:pPr>
      <w:r>
        <w:rPr>
          <w:lang w:val="en-US"/>
        </w:rPr>
        <w:t xml:space="preserve">Document missing containers, broken seals, water damage, crushed packaging, or other exceptions immediately.</w:t>
      </w:r>
    </w:p>
    <w:p>
      <w:pPr>
        <w:pStyle w:val="ListParagraph"/>
        <w:numPr>
          <w:ilvl w:val="1"/>
          <w:numId w:val="18"/>
        </w:numPr>
        <w:spacing w:line="276" w:lineRule="auto"/>
        <w:ind w:left="720" w:hanging="240"/>
      </w:pPr>
      <w:r>
        <w:rPr>
          <w:lang w:val="en-US"/>
        </w:rPr>
        <w:t xml:space="preserve">Move questionable material to quarantine rather than available stock.</w:t>
      </w:r>
    </w:p>
    <w:p>
      <w:pPr>
        <w:pStyle w:val="ListParagraph"/>
        <w:numPr>
          <w:ilvl w:val="0"/>
          <w:numId w:val="17"/>
        </w:numPr>
        <w:spacing w:line="276" w:lineRule="auto"/>
        <w:ind w:left="360" w:hanging="240"/>
      </w:pPr>
      <w:r>
        <w:rPr>
          <w:b/>
          <w:lang w:val="en-US"/>
        </w:rPr>
        <w:t xml:space="preserve">Count and verify every line.</w:t>
      </w:r>
      <w:r>
        <w:rPr>
          <w:lang w:val="en-US"/>
        </w:rPr>
        <w:t xml:space="preserve"> </w:t>
      </w:r>
      <w:r>
        <w:rPr>
          <w:lang w:val="en-US"/>
        </w:rPr>
        <w:t xml:space="preserve"> </w:t>
      </w:r>
    </w:p>
    <w:p>
      <w:pPr>
        <w:pStyle w:val="ListParagraph"/>
        <w:numPr>
          <w:ilvl w:val="1"/>
          <w:numId w:val="19"/>
        </w:numPr>
        <w:spacing w:line="276" w:lineRule="auto"/>
        <w:ind w:left="720" w:hanging="240"/>
      </w:pPr>
      <w:r>
        <w:rPr>
          <w:lang w:val="en-US"/>
        </w:rPr>
        <w:t xml:space="preserve">Match received part numbers, quantities, condition, and required serial numbers to the manifest.</w:t>
      </w:r>
    </w:p>
    <w:p>
      <w:pPr>
        <w:pStyle w:val="ListParagraph"/>
        <w:numPr>
          <w:ilvl w:val="1"/>
          <w:numId w:val="19"/>
        </w:numPr>
        <w:spacing w:line="276" w:lineRule="auto"/>
        <w:ind w:left="720" w:hanging="240"/>
      </w:pPr>
      <w:r>
        <w:rPr>
          <w:lang w:val="en-US"/>
        </w:rPr>
        <w:t xml:space="preserve">Record receipt in Quill Bulk or the approved inventory system only after physical verification.</w:t>
      </w:r>
    </w:p>
    <w:p>
      <w:pPr>
        <w:pStyle w:val="ListParagraph"/>
        <w:numPr>
          <w:ilvl w:val="1"/>
          <w:numId w:val="19"/>
        </w:numPr>
        <w:spacing w:line="276" w:lineRule="auto"/>
        <w:ind w:left="720" w:hanging="240"/>
      </w:pPr>
      <w:r>
        <w:rPr>
          <w:lang w:val="en-US"/>
        </w:rPr>
        <w:t xml:space="preserve">Place accepted stock into its designated depot bin, cage, shelf, or controlled storage location.</w:t>
      </w:r>
    </w:p>
    <w:p>
      <w:pPr>
        <w:pStyle w:val="ListParagraph"/>
        <w:numPr>
          <w:ilvl w:val="0"/>
          <w:numId w:val="17"/>
        </w:numPr>
        <w:spacing w:line="276" w:lineRule="auto"/>
        <w:ind w:left="360" w:hanging="240"/>
      </w:pPr>
      <w:r>
        <w:rPr>
          <w:b/>
          <w:lang w:val="en-US"/>
        </w:rPr>
        <w:t xml:space="preserve">Close or escalate the transfer.</w:t>
      </w:r>
      <w:r>
        <w:rPr>
          <w:lang w:val="en-US"/>
        </w:rPr>
        <w:t xml:space="preserve"> </w:t>
      </w:r>
      <w:r>
        <w:rPr>
          <w:lang w:val="en-US"/>
        </w:rPr>
        <w:t xml:space="preserve"> </w:t>
      </w:r>
    </w:p>
    <w:p>
      <w:pPr>
        <w:pStyle w:val="ListParagraph"/>
        <w:numPr>
          <w:ilvl w:val="1"/>
          <w:numId w:val="20"/>
        </w:numPr>
        <w:spacing w:line="276" w:lineRule="auto"/>
        <w:ind w:left="720" w:hanging="240"/>
      </w:pPr>
      <w:r>
        <w:rPr>
          <w:lang w:val="en-US"/>
        </w:rPr>
        <w:t xml:space="preserve">Confirm receipt to the sending location when all lines match.</w:t>
      </w:r>
    </w:p>
    <w:p>
      <w:pPr>
        <w:pStyle w:val="ListParagraph"/>
        <w:numPr>
          <w:ilvl w:val="1"/>
          <w:numId w:val="20"/>
        </w:numPr>
        <w:spacing w:line="276" w:lineRule="auto"/>
        <w:ind w:left="720" w:hanging="240"/>
      </w:pPr>
      <w:r>
        <w:rPr>
          <w:lang w:val="en-US"/>
        </w:rPr>
        <w:t xml:space="preserve">Create a discrepancy record for any variance and notify the accountable inventory owner.</w:t>
      </w:r>
    </w:p>
    <w:p>
      <w:pPr>
        <w:pStyle w:val="ListParagraph"/>
        <w:numPr>
          <w:ilvl w:val="1"/>
          <w:numId w:val="20"/>
        </w:numPr>
        <w:spacing w:line="276" w:lineRule="auto"/>
        <w:ind w:left="720" w:hanging="240"/>
      </w:pPr>
      <w:r>
        <w:rPr>
          <w:lang w:val="en-US"/>
        </w:rPr>
        <w:t xml:space="preserve">Close the transfer only when the inventory system, manifest, and physical stock reconcile.</w:t>
      </w:r>
    </w:p>
    <w:p>
      <w:pPr>
        <w:pStyle w:val="Normal"/>
        <w:spacing w:line="276" w:lineRule="auto"/>
      </w:pPr>
      <w:r>
        <w:rPr>
          <w:b/>
          <w:lang w:val="en-US"/>
        </w:rPr>
        <w:t xml:space="preserve">After-receipt photo requirement:</w:t>
      </w:r>
      <w:r>
        <w:rPr>
          <w:lang w:val="en-US"/>
        </w:rPr>
        <w:t xml:space="preserve"> When photo evidence is required, use the approved original photography described in the production placeholder above after physical acceptance or placement in the designated holding location. The photo supports the record but does not prove quantities, condition, serial numbers, or receipt completion on its own.</w:t>
      </w:r>
    </w:p>
    <w:p>
      <w:pPr>
        <w:pStyle w:val="CalloutNote"/>
        <w:spacing w:after="230" w:line="276" w:lineRule="auto"/>
      </w:pPr>
      <w:r>
        <w:rPr>
          <w:b/>
          <w:lang w:val="en-US"/>
        </w:rPr>
        <w:t xml:space="preserve">Success criteria:</w:t>
      </w:r>
      <w:r>
        <w:rPr>
          <w:lang w:val="en-US"/>
        </w:rPr>
        <w:t xml:space="preserve"> The receiving depot can locate accepted parts, the approved inventory record shows the correct accountable location, and each discrepancy has a visible owner and a documented resolution path.</w:t>
      </w:r>
    </w:p>
    <w:p>
      <w:pPr>
        <w:pStyle w:val="Heading2"/>
        <w:outlineLvl w:val="1"/>
      </w:pPr>
      <w:r>
        <w:rPr>
          <w:lang w:val="en-US"/>
        </w:rPr>
        <w:t xml:space="preserve">Troubleshooting Common Problems</w:t>
      </w:r>
    </w:p>
    <w:p>
      <w:pPr>
        <w:pStyle w:val="Normal"/>
        <w:spacing w:line="276" w:lineRule="auto"/>
      </w:pPr>
      <w:r>
        <w:rPr>
          <w:lang w:val="en-US"/>
        </w:rPr>
        <w:t xml:space="preserve">Resolve exceptions at the line-item level and preserve the evidence required to explain any adjustment. An exception is not proof of wrongdoing, but it does require controlled review before affected stock becomes available.</w:t>
      </w:r>
    </w:p>
    <w:tbl>
      <w:tblPr>
        <w:tblW w:w="9026" w:type="dxa"/>
        <w:tblInd w:w="0" w:type="dxa"/>
        <w:tblBorders>
          <w:top w:val="nil"/>
          <w:left w:val="nil"/>
          <w:bottom w:val="single" w:color="D3DBE6" w:sz="6"/>
          <w:right w:val="nil"/>
          <w:insideH w:val="nil"/>
          <w:insideV w:val="nil"/>
        </w:tblBorders>
        <w:tblLayout w:type="fixed"/>
        <w:tblCellMar>
          <w:top w:w="89" w:type="dxa"/>
          <w:left w:w="125" w:type="dxa"/>
          <w:bottom w:w="89" w:type="dxa"/>
          <w:right w:w="125" w:type="dxa"/>
        </w:tblCellMar>
      </w:tblPr>
      <w:tblGrid>
        <w:gridCol w:w="3009"/>
        <w:gridCol w:w="3009"/>
        <w:gridCol w:w="3008"/>
      </w:tblGrid>
      <w:tr>
        <w:trPr>
          <w:cantSplit/>
          <w:tblHeader/>
        </w:trPr>
        <w:tc>
          <w:tcPr>
            <w:tcW w:w="3009" w:type="dxa"/>
            <w:shd w:val="clear" w:color="auto" w:fill="0B2A5C"/>
          </w:tcPr>
          <w:p>
            <w:pPr>
              <w:pStyle w:val="TableHeading"/>
              <w:spacing w:before="0" w:after="0" w:line="276" w:lineRule="auto"/>
              <w:ind w:left="0" w:right="0" w:firstLine="0"/>
              <w:jc w:val="left"/>
            </w:pPr>
            <w:r>
              <w:rPr>
                <w:b/>
                <w:lang w:val="en-US"/>
              </w:rPr>
              <w:t xml:space="preserve">Problem</w:t>
            </w:r>
          </w:p>
        </w:tc>
        <w:tc>
          <w:tcPr>
            <w:tcW w:w="3009" w:type="dxa"/>
            <w:shd w:val="clear" w:color="auto" w:fill="0B2A5C"/>
          </w:tcPr>
          <w:p>
            <w:pPr>
              <w:pStyle w:val="TableHeading"/>
              <w:spacing w:before="0" w:after="0" w:line="276" w:lineRule="auto"/>
              <w:ind w:left="0" w:right="0" w:firstLine="0"/>
              <w:jc w:val="left"/>
            </w:pPr>
            <w:r>
              <w:rPr>
                <w:b/>
                <w:lang w:val="en-US"/>
              </w:rPr>
              <w:t xml:space="preserve">How to identify it</w:t>
            </w:r>
          </w:p>
        </w:tc>
        <w:tc>
          <w:tcPr>
            <w:tcW w:w="3008" w:type="dxa"/>
            <w:shd w:val="clear" w:color="auto" w:fill="0B2A5C"/>
          </w:tcPr>
          <w:p>
            <w:pPr>
              <w:pStyle w:val="TableHeading"/>
              <w:spacing w:before="0" w:after="0" w:line="276" w:lineRule="auto"/>
              <w:ind w:left="0" w:right="0" w:firstLine="0"/>
              <w:jc w:val="left"/>
            </w:pPr>
            <w:r>
              <w:rPr>
                <w:b/>
                <w:lang w:val="en-US"/>
              </w:rPr>
              <w:t xml:space="preserve">Corrective action</w:t>
            </w:r>
          </w:p>
        </w:tc>
      </w:tr>
      <w:tr>
        <w:trPr>
          <w:cantSplit/>
        </w:trPr>
        <w:tc>
          <w:tcPr>
            <w:tcW w:w="3009" w:type="dxa"/>
          </w:tcPr>
          <w:p>
            <w:pPr>
              <w:pStyle w:val="TableText"/>
              <w:spacing w:before="0" w:after="0" w:line="276" w:lineRule="auto"/>
              <w:ind w:left="0" w:right="0" w:firstLine="0"/>
              <w:jc w:val="left"/>
            </w:pPr>
            <w:r>
              <w:rPr>
                <w:lang w:val="en-US"/>
              </w:rPr>
              <w:t xml:space="preserve">Quantity does not match the manifest</w:t>
            </w:r>
          </w:p>
        </w:tc>
        <w:tc>
          <w:tcPr>
            <w:tcW w:w="3009" w:type="dxa"/>
          </w:tcPr>
          <w:p>
            <w:pPr>
              <w:pStyle w:val="TableText"/>
              <w:spacing w:before="0" w:after="0" w:line="276" w:lineRule="auto"/>
              <w:ind w:left="0" w:right="0" w:firstLine="0"/>
              <w:jc w:val="left"/>
            </w:pPr>
            <w:r>
              <w:rPr>
                <w:lang w:val="en-US"/>
              </w:rPr>
              <w:t xml:space="preserve">The physical count is higher or lower than the stated quantity.</w:t>
            </w:r>
          </w:p>
        </w:tc>
        <w:tc>
          <w:tcPr>
            <w:tcW w:w="3008" w:type="dxa"/>
          </w:tcPr>
          <w:p>
            <w:pPr>
              <w:pStyle w:val="TableText"/>
              <w:spacing w:before="0" w:after="0" w:line="276" w:lineRule="auto"/>
              <w:ind w:left="0" w:right="0" w:firstLine="0"/>
              <w:jc w:val="left"/>
            </w:pPr>
            <w:r>
              <w:rPr>
                <w:lang w:val="en-US"/>
              </w:rPr>
              <w:t xml:space="preserve">Recount independently, check pack sizes and container sequence, then open a discrepancy record. Do not silently adjust the receipt.</w:t>
            </w:r>
          </w:p>
        </w:tc>
      </w:tr>
      <w:tr>
        <w:trPr>
          <w:cantSplit/>
        </w:trPr>
        <w:tc>
          <w:tcPr>
            <w:tcW w:w="3009" w:type="dxa"/>
            <w:shd w:val="clear" w:color="auto" w:fill="F4F7FB"/>
          </w:tcPr>
          <w:p>
            <w:pPr>
              <w:pStyle w:val="TableText"/>
              <w:spacing w:before="0" w:after="0" w:line="276" w:lineRule="auto"/>
              <w:ind w:left="0" w:right="0" w:firstLine="0"/>
              <w:jc w:val="left"/>
            </w:pPr>
            <w:r>
              <w:rPr>
                <w:lang w:val="en-US"/>
              </w:rPr>
              <w:t xml:space="preserve">Part number is correct but condition is wrong</w:t>
            </w:r>
          </w:p>
        </w:tc>
        <w:tc>
          <w:tcPr>
            <w:tcW w:w="3009" w:type="dxa"/>
            <w:shd w:val="clear" w:color="auto" w:fill="F4F7FB"/>
          </w:tcPr>
          <w:p>
            <w:pPr>
              <w:pStyle w:val="TableText"/>
              <w:spacing w:before="0" w:after="0" w:line="276" w:lineRule="auto"/>
              <w:ind w:left="0" w:right="0" w:firstLine="0"/>
              <w:jc w:val="left"/>
            </w:pPr>
            <w:r>
              <w:rPr>
                <w:lang w:val="en-US"/>
              </w:rPr>
              <w:t xml:space="preserve">A returned, damaged, repairable, or quarantined item appears as new or serviceable stock.</w:t>
            </w:r>
          </w:p>
        </w:tc>
        <w:tc>
          <w:tcPr>
            <w:tcW w:w="3008" w:type="dxa"/>
            <w:shd w:val="clear" w:color="auto" w:fill="F4F7FB"/>
          </w:tcPr>
          <w:p>
            <w:pPr>
              <w:pStyle w:val="TableText"/>
              <w:spacing w:before="0" w:after="0" w:line="276" w:lineRule="auto"/>
              <w:ind w:left="0" w:right="0" w:firstLine="0"/>
              <w:jc w:val="left"/>
            </w:pPr>
            <w:r>
              <w:rPr>
                <w:lang w:val="en-US"/>
              </w:rPr>
              <w:t xml:space="preserve">Segregate the item, apply the correct condition label, and receive it only into the appropriate status or location.</w:t>
            </w:r>
          </w:p>
        </w:tc>
      </w:tr>
      <w:tr>
        <w:trPr>
          <w:cantSplit/>
        </w:trPr>
        <w:tc>
          <w:tcPr>
            <w:tcW w:w="3009" w:type="dxa"/>
          </w:tcPr>
          <w:p>
            <w:pPr>
              <w:pStyle w:val="TableText"/>
              <w:spacing w:before="0" w:after="0" w:line="276" w:lineRule="auto"/>
              <w:ind w:left="0" w:right="0" w:firstLine="0"/>
              <w:jc w:val="left"/>
            </w:pPr>
            <w:r>
              <w:rPr>
                <w:lang w:val="en-US"/>
              </w:rPr>
              <w:t xml:space="preserve">Serial number is missing or mismatched</w:t>
            </w:r>
          </w:p>
        </w:tc>
        <w:tc>
          <w:tcPr>
            <w:tcW w:w="3009" w:type="dxa"/>
          </w:tcPr>
          <w:p>
            <w:pPr>
              <w:pStyle w:val="TableText"/>
              <w:spacing w:before="0" w:after="0" w:line="276" w:lineRule="auto"/>
              <w:ind w:left="0" w:right="0" w:firstLine="0"/>
              <w:jc w:val="left"/>
            </w:pPr>
            <w:r>
              <w:rPr>
                <w:lang w:val="en-US"/>
              </w:rPr>
              <w:t xml:space="preserve">The serial number on the item differs from the transfer record, or no required serial number was recorded.</w:t>
            </w:r>
          </w:p>
        </w:tc>
        <w:tc>
          <w:tcPr>
            <w:tcW w:w="3008" w:type="dxa"/>
          </w:tcPr>
          <w:p>
            <w:pPr>
              <w:pStyle w:val="TableText"/>
              <w:spacing w:before="0" w:after="0" w:line="276" w:lineRule="auto"/>
              <w:ind w:left="0" w:right="0" w:firstLine="0"/>
              <w:jc w:val="left"/>
            </w:pPr>
            <w:r>
              <w:rPr>
                <w:lang w:val="en-US"/>
              </w:rPr>
              <w:t xml:space="preserve">Hold the line from available inventory, verify source documentation, and escalate under controlled-asset procedures.</w:t>
            </w:r>
          </w:p>
        </w:tc>
      </w:tr>
      <w:tr>
        <w:trPr>
          <w:cantSplit/>
        </w:trPr>
        <w:tc>
          <w:tcPr>
            <w:tcW w:w="3009" w:type="dxa"/>
            <w:shd w:val="clear" w:color="auto" w:fill="F4F7FB"/>
          </w:tcPr>
          <w:p>
            <w:pPr>
              <w:pStyle w:val="TableText"/>
              <w:spacing w:before="0" w:after="0" w:line="276" w:lineRule="auto"/>
              <w:ind w:left="0" w:right="0" w:firstLine="0"/>
              <w:jc w:val="left"/>
            </w:pPr>
            <w:r>
              <w:rPr>
                <w:lang w:val="en-US"/>
              </w:rPr>
              <w:t xml:space="preserve">Shipment arrives without a valid transfer reference</w:t>
            </w:r>
          </w:p>
        </w:tc>
        <w:tc>
          <w:tcPr>
            <w:tcW w:w="3009" w:type="dxa"/>
            <w:shd w:val="clear" w:color="auto" w:fill="F4F7FB"/>
          </w:tcPr>
          <w:p>
            <w:pPr>
              <w:pStyle w:val="TableText"/>
              <w:spacing w:before="0" w:after="0" w:line="276" w:lineRule="auto"/>
              <w:ind w:left="0" w:right="0" w:firstLine="0"/>
              <w:jc w:val="left"/>
            </w:pPr>
            <w:r>
              <w:rPr>
                <w:lang w:val="en-US"/>
              </w:rPr>
              <w:t xml:space="preserve">The depot cannot link delivered stock to an approved transfer record.</w:t>
            </w:r>
          </w:p>
        </w:tc>
        <w:tc>
          <w:tcPr>
            <w:tcW w:w="3008" w:type="dxa"/>
            <w:shd w:val="clear" w:color="auto" w:fill="F4F7FB"/>
          </w:tcPr>
          <w:p>
            <w:pPr>
              <w:pStyle w:val="TableText"/>
              <w:spacing w:before="0" w:after="0" w:line="276" w:lineRule="auto"/>
              <w:ind w:left="0" w:right="0" w:firstLine="0"/>
              <w:jc w:val="left"/>
            </w:pPr>
            <w:r>
              <w:rPr>
                <w:lang w:val="en-US"/>
              </w:rPr>
              <w:t xml:space="preserve">Place the shipment in a secure holding area. Contact the sending custodian and create or correct the transfer record before receipt.</w:t>
            </w:r>
          </w:p>
        </w:tc>
      </w:tr>
      <w:tr>
        <w:trPr>
          <w:cantSplit/>
        </w:trPr>
        <w:tc>
          <w:tcPr>
            <w:tcW w:w="3009" w:type="dxa"/>
          </w:tcPr>
          <w:p>
            <w:pPr>
              <w:pStyle w:val="TableText"/>
              <w:spacing w:before="0" w:after="0" w:line="276" w:lineRule="auto"/>
              <w:ind w:left="0" w:right="0" w:firstLine="0"/>
              <w:jc w:val="left"/>
            </w:pPr>
            <w:r>
              <w:rPr>
                <w:lang w:val="en-US"/>
              </w:rPr>
              <w:t xml:space="preserve">System stock differs from physical depot stock</w:t>
            </w:r>
          </w:p>
        </w:tc>
        <w:tc>
          <w:tcPr>
            <w:tcW w:w="3009" w:type="dxa"/>
          </w:tcPr>
          <w:p>
            <w:pPr>
              <w:pStyle w:val="TableText"/>
              <w:spacing w:before="0" w:after="0" w:line="276" w:lineRule="auto"/>
              <w:ind w:left="0" w:right="0" w:firstLine="0"/>
              <w:jc w:val="left"/>
            </w:pPr>
            <w:r>
              <w:rPr>
                <w:lang w:val="en-US"/>
              </w:rPr>
              <w:t xml:space="preserve">Bin counts do not match the quantity received or the expected available balance.</w:t>
            </w:r>
          </w:p>
        </w:tc>
        <w:tc>
          <w:tcPr>
            <w:tcW w:w="3008" w:type="dxa"/>
          </w:tcPr>
          <w:p>
            <w:pPr>
              <w:pStyle w:val="TableText"/>
              <w:spacing w:before="0" w:after="0" w:line="276" w:lineRule="auto"/>
              <w:ind w:left="0" w:right="0" w:firstLine="0"/>
              <w:jc w:val="left"/>
            </w:pPr>
            <w:r>
              <w:rPr>
                <w:lang w:val="en-US"/>
              </w:rPr>
              <w:t xml:space="preserve">Check open transfers, pending receipts, duplicate scans, and prior adjustments. Escalate unresolved variances for inventory investigation.</w:t>
            </w:r>
          </w:p>
        </w:tc>
      </w:tr>
    </w:tbl>
    <w:p>
      <w:pPr>
        <w:pStyle w:val="CalloutWarning"/>
        <w:spacing w:after="230" w:line="276" w:lineRule="auto"/>
      </w:pPr>
      <w:r>
        <w:rPr>
          <w:b/>
          <w:lang w:val="en-US"/>
        </w:rPr>
        <w:t xml:space="preserve">Caution:</w:t>
      </w:r>
      <w:r>
        <w:rPr>
          <w:lang w:val="en-US"/>
        </w:rPr>
        <w:t xml:space="preserve"> Never solve a mismatch by receiving the expected quantity and "fixing it later." That approach can create false availability and weaken the transfer record.</w:t>
      </w:r>
    </w:p>
    <w:p>
      <w:pPr>
        <w:pStyle w:val="Heading2"/>
        <w:outlineLvl w:val="1"/>
      </w:pPr>
      <w:r>
        <w:rPr>
          <w:lang w:val="en-US"/>
        </w:rPr>
        <w:t xml:space="preserve">Tips for Best Results</w:t>
      </w:r>
    </w:p>
    <w:p>
      <w:pPr>
        <w:pStyle w:val="Normal"/>
        <w:spacing w:line="276" w:lineRule="auto"/>
      </w:pPr>
      <w:r>
        <w:rPr>
          <w:lang w:val="en-US"/>
        </w:rPr>
        <w:t xml:space="preserve">These practices are intended to strengthen control over part identity, location, custody, and status. They are not presented as proven performance improvements for Quill Bulk or for any particular regional depot network.</w:t>
      </w:r>
    </w:p>
    <w:p>
      <w:pPr>
        <w:pStyle w:val="ListParagraph"/>
        <w:numPr>
          <w:ilvl w:val="0"/>
          <w:numId w:val="21"/>
        </w:numPr>
        <w:spacing w:line="276" w:lineRule="auto"/>
        <w:ind w:left="360" w:hanging="240"/>
      </w:pPr>
      <w:r>
        <w:rPr>
          <w:b/>
          <w:lang w:val="en-US"/>
        </w:rPr>
        <w:t xml:space="preserve">Standardize master data.</w:t>
      </w:r>
      <w:r>
        <w:rPr>
          <w:lang w:val="en-US"/>
        </w:rPr>
        <w:t xml:space="preserve"> Use one approved part number, unit of measure, and condition vocabulary across central stores, depots, and technician inventory.</w:t>
      </w:r>
    </w:p>
    <w:p>
      <w:pPr>
        <w:pStyle w:val="ListParagraph"/>
        <w:numPr>
          <w:ilvl w:val="0"/>
          <w:numId w:val="21"/>
        </w:numPr>
        <w:spacing w:line="276" w:lineRule="auto"/>
        <w:ind w:left="360" w:hanging="240"/>
      </w:pPr>
      <w:r>
        <w:rPr>
          <w:b/>
          <w:lang w:val="en-US"/>
        </w:rPr>
        <w:t xml:space="preserve">Design for location visibility.</w:t>
      </w:r>
      <w:r>
        <w:rPr>
          <w:lang w:val="en-US"/>
        </w:rPr>
        <w:t xml:space="preserve"> Clearly distinguish central warehouse stock, regional depot stock, technician vehicle stock, forward-stocking stock, engineer-kit stock, and parts allocated to open jobs. FieldEx describes tracking across stores, zones, and technician vehicles, and Ventory identifies vehicles, forward-stocking locations, and engineer kits as relevant holding locations.</w:t>
      </w:r>
    </w:p>
    <w:p>
      <w:pPr>
        <w:pStyle w:val="ListParagraph"/>
        <w:numPr>
          <w:ilvl w:val="0"/>
          <w:numId w:val="21"/>
        </w:numPr>
        <w:spacing w:line="276" w:lineRule="auto"/>
        <w:ind w:left="360" w:hanging="240"/>
      </w:pPr>
      <w:r>
        <w:rPr>
          <w:b/>
          <w:lang w:val="en-US"/>
        </w:rPr>
        <w:t xml:space="preserve">Make in-transit status visible where supported.</w:t>
      </w:r>
      <w:r>
        <w:rPr>
          <w:lang w:val="en-US"/>
        </w:rPr>
        <w:t xml:space="preserve"> The intended control is to avoid treating a part as simultaneously available at both the sending and receiving location while the movement remains open.</w:t>
      </w:r>
    </w:p>
    <w:p>
      <w:pPr>
        <w:pStyle w:val="ListParagraph"/>
        <w:numPr>
          <w:ilvl w:val="0"/>
          <w:numId w:val="21"/>
        </w:numPr>
        <w:spacing w:line="276" w:lineRule="auto"/>
        <w:ind w:left="360" w:hanging="240"/>
      </w:pPr>
      <w:r>
        <w:rPr>
          <w:b/>
          <w:lang w:val="en-US"/>
        </w:rPr>
        <w:t xml:space="preserve">Assign named responsibilities.</w:t>
      </w:r>
      <w:r>
        <w:rPr>
          <w:lang w:val="en-US"/>
        </w:rPr>
        <w:t xml:space="preserve"> Identify a sender, receiver, approving authority, and escalation owner for every transfer. Named roles provide a documented route for reviewing exceptions and following up on unresolved records.</w:t>
      </w:r>
    </w:p>
    <w:p>
      <w:pPr>
        <w:pStyle w:val="ListParagraph"/>
        <w:numPr>
          <w:ilvl w:val="0"/>
          <w:numId w:val="21"/>
        </w:numPr>
        <w:spacing w:line="276" w:lineRule="auto"/>
        <w:ind w:left="360" w:hanging="240"/>
      </w:pPr>
      <w:r>
        <w:rPr>
          <w:b/>
          <w:lang w:val="en-US"/>
        </w:rPr>
        <w:t xml:space="preserve">Use cycle counts as a validation activity.</w:t>
      </w:r>
      <w:r>
        <w:rPr>
          <w:lang w:val="en-US"/>
        </w:rPr>
        <w:t xml:space="preserve"> Focus review on fast-moving, high-value, controlled, and frequently transferred items. Compare physical counts with system balances and investigate repeat variances according to local policy.</w:t>
      </w:r>
    </w:p>
    <w:p>
      <w:pPr>
        <w:pStyle w:val="ListParagraph"/>
        <w:numPr>
          <w:ilvl w:val="0"/>
          <w:numId w:val="21"/>
        </w:numPr>
        <w:spacing w:line="276" w:lineRule="auto"/>
        <w:ind w:left="360" w:hanging="240"/>
      </w:pPr>
      <w:r>
        <w:rPr>
          <w:b/>
          <w:lang w:val="en-US"/>
        </w:rPr>
        <w:t xml:space="preserve">Review patterns, not only individual adjustments.</w:t>
      </w:r>
      <w:r>
        <w:rPr>
          <w:lang w:val="en-US"/>
        </w:rPr>
        <w:t xml:space="preserve"> Review recurring variances by depot, part family, sender, carrier route, or transfer type. A pattern may indicate that a process review is needed, although the underlying cause must be investigated rather than assumed.</w:t>
      </w:r>
    </w:p>
    <w:p>
      <w:pPr>
        <w:pStyle w:val="ListParagraph"/>
        <w:numPr>
          <w:ilvl w:val="0"/>
          <w:numId w:val="21"/>
        </w:numPr>
        <w:spacing w:line="276" w:lineRule="auto"/>
        <w:ind w:left="360" w:hanging="240"/>
      </w:pPr>
      <w:r>
        <w:rPr>
          <w:b/>
          <w:lang w:val="en-US"/>
        </w:rPr>
        <w:t xml:space="preserve">Separate emergency speed from control bypass.</w:t>
      </w:r>
      <w:r>
        <w:rPr>
          <w:lang w:val="en-US"/>
        </w:rPr>
        <w:t xml:space="preserve"> An emergency shipment may use an accelerated authorization path, but it should still retain the required transfer reference, custody record, and receiving verification.</w:t>
      </w:r>
    </w:p>
    <w:p>
      <w:pPr>
        <w:pStyle w:val="CalloutTip"/>
        <w:spacing w:after="230" w:line="276" w:lineRule="auto"/>
      </w:pPr>
      <w:r>
        <w:rPr>
          <w:b/>
          <w:lang w:val="en-US"/>
        </w:rPr>
        <w:t xml:space="preserve">Governance tip:</w:t>
      </w:r>
      <w:r>
        <w:rPr>
          <w:lang w:val="en-US"/>
        </w:rPr>
        <w:t xml:space="preserve"> A regular operations review can examine transfer exceptions, aged in-transit stock, repeat shortages, and unresolved quarantined parts. These reviews are intended to help leaders identify records that need follow-up and assess whether local controls are being applied consistently.</w:t>
      </w:r>
    </w:p>
    <w:p>
      <w:pPr>
        <w:pStyle w:val="Normal"/>
        <w:spacing w:line="276" w:lineRule="auto"/>
      </w:pPr>
      <w:r>
        <w:rPr>
          <w:lang w:val="en-US"/>
        </w:rPr>
        <w:t xml:space="preserve">Consistent use of this process is intended to improve the completeness of location and quantity records by requiring documented authorization, physical verification, custody assignment, and receipt reconciliation. More complete records may support replenishment decisions, service planning, working-capital controls, and field-productivity analysis. However, this guide does not establish a specific performance improvement for Quill Bulk, regional depot networks, or any individual organization. Outcomes depend on part demand, service models, data quality, local execution, system configuration, and other operational factors.</w:t>
      </w:r>
    </w:p>
    <w:p>
      <w:pPr>
        <w:pStyle w:val="Heading2"/>
        <w:outlineLvl w:val="1"/>
      </w:pPr>
      <w:r>
        <w:rPr>
          <w:lang w:val="en-US"/>
        </w:rPr>
        <w:t xml:space="preserve">Conclusion</w:t>
      </w:r>
    </w:p>
    <w:p>
      <w:pPr>
        <w:pStyle w:val="Normal"/>
        <w:spacing w:line="276" w:lineRule="auto"/>
      </w:pPr>
      <w:r>
        <w:rPr>
          <w:lang w:val="en-US"/>
        </w:rPr>
        <w:t xml:space="preserve">Quill Bulk provides an organization-specific framework for handing off spare parts to regional field depots. Its core principle is straightforward: verify the item physically, record the movement accurately, assign custody clearly, and resolve exceptions before stock becomes available for field use.</w:t>
      </w:r>
    </w:p>
    <w:p>
      <w:pPr>
        <w:pStyle w:val="Normal"/>
        <w:spacing w:line="276" w:lineRule="auto"/>
      </w:pPr>
      <w:r>
        <w:rPr>
          <w:lang w:val="en-US"/>
        </w:rPr>
        <w:t xml:space="preserve">Start with Step 1 by confirming the destination depot, approved part lines, accountable custodians, approving authority, and transfer reference. If approval is unavailable, hold the request as unapproved and do not pick stock. At completion, confirm that the physical stock, depot location, manifest, and approved inventory record reconcile. That final check is what turns a delivered shipment into controlled inventory that the depot can locate, assess, and use under its local procedures.</w:t>
      </w:r>
    </w:p>
    <w:p>
      <w:pPr>
        <w:pStyle w:val="Heading2"/>
        <w:outlineLvl w:val="1"/>
      </w:pPr>
      <w:r>
        <w:rPr>
          <w:lang w:val="en-US"/>
        </w:rPr>
        <w:t xml:space="preserve">References</w:t>
      </w:r>
    </w:p>
    <w:p>
      <w:pPr>
        <w:pStyle w:val="ListParagraph"/>
        <w:numPr>
          <w:ilvl w:val="0"/>
          <w:numId w:val="22"/>
        </w:numPr>
        <w:spacing w:line="276" w:lineRule="auto"/>
        <w:ind w:left="360" w:hanging="240"/>
      </w:pPr>
      <w:r>
        <w:rPr>
          <w:lang w:val="en-US"/>
        </w:rPr>
        <w:t xml:space="preserve">(n.d.). Field Service Inventory Management: 2026 Guide. www.fieldpulse.com. Retrieved October 21, 2026, from https://www.fieldpulse.com/resources/blog/field-service-inventory-management</w:t>
      </w:r>
    </w:p>
    <w:p>
      <w:pPr>
        <w:pStyle w:val="ListParagraph"/>
        <w:numPr>
          <w:ilvl w:val="0"/>
          <w:numId w:val="22"/>
        </w:numPr>
        <w:spacing w:line="276" w:lineRule="auto"/>
        <w:ind w:left="360" w:hanging="240"/>
      </w:pPr>
      <w:r>
        <w:rPr>
          <w:lang w:val="en-US"/>
        </w:rPr>
        <w:t xml:space="preserve">(n.d.). Field Spare Parts Inventory Management: Best Practices &amp; Tools. www.fieldequip.com. Retrieved October 21, 2026, from https://www.fieldequip.com/manage-field-spare-parts-inventory/</w:t>
      </w:r>
    </w:p>
    <w:p>
      <w:pPr>
        <w:pStyle w:val="ListParagraph"/>
        <w:numPr>
          <w:ilvl w:val="0"/>
          <w:numId w:val="22"/>
        </w:numPr>
        <w:spacing w:line="276" w:lineRule="auto"/>
        <w:ind w:left="360" w:hanging="240"/>
      </w:pPr>
      <w:r>
        <w:rPr>
          <w:lang w:val="en-US"/>
        </w:rPr>
        <w:t xml:space="preserve">(n.d.). Spare Parts Inventory Management Software | FieldEx. www.fieldex.com. Retrieved October 21, 2026, from https://www.fieldex.com/en/products/spare-parts-inventory</w:t>
      </w:r>
    </w:p>
    <w:p>
      <w:pPr>
        <w:pStyle w:val="ListParagraph"/>
        <w:numPr>
          <w:ilvl w:val="0"/>
          <w:numId w:val="22"/>
        </w:numPr>
        <w:spacing w:line="276" w:lineRule="auto"/>
        <w:ind w:left="360" w:hanging="240"/>
      </w:pPr>
      <w:r>
        <w:rPr>
          <w:lang w:val="en-US"/>
        </w:rPr>
        <w:t xml:space="preserve">(n.d.). Spare Parts Inventory Management for Field Service Teams. www.ventory.io. Retrieved October 21, 2026, from https://www.ventory.io/blog-posts/spare-parts-inventory-management-field-service</w:t>
      </w:r>
    </w:p>
    <w:p>
      <w:pPr>
        <w:pStyle w:val="ListParagraph"/>
        <w:numPr>
          <w:ilvl w:val="0"/>
          <w:numId w:val="22"/>
        </w:numPr>
        <w:spacing w:line="276" w:lineRule="auto"/>
        <w:ind w:left="360" w:hanging="240"/>
      </w:pPr>
      <w:r>
        <w:rPr>
          <w:lang w:val="en-US"/>
        </w:rPr>
        <w:t xml:space="preserve">(n.d.). A comprehensive guide to field service inventory management | dynamics.folio3.com. dynamics.folio3.com. Retrieved October 21, 2026, from https://dynamics.folio3.com/blog/a-comprehensive-guide-to-field-service-inventory-management/</w:t>
      </w:r>
    </w:p>
    <w:p>
      <w:pPr>
        <w:pStyle w:val="ListParagraph"/>
        <w:numPr>
          <w:ilvl w:val="0"/>
          <w:numId w:val="22"/>
        </w:numPr>
        <w:spacing w:line="276" w:lineRule="auto"/>
        <w:ind w:left="360" w:hanging="240"/>
      </w:pPr>
      <w:r>
        <w:rPr>
          <w:lang w:val="en-US"/>
        </w:rPr>
        <w:t xml:space="preserve">(n.d.). Spare parts inventory | limble.com. limble.com. Retrieved October 21, 2026, from https://limble.com/lp/products/spare-parts-inventory</w:t>
      </w:r>
    </w:p>
    <w:sectPr>
      <w:footerReference xmlns:r="http://schemas.openxmlformats.org/officeDocument/2006/relationships" w:type="default" r:id="R617a534bbdb6450f"/>
      <w:pgSz w:w="11906" w:h="16838" w:orient="portrait"/>
      <w:pgMar w:top="1440" w:right="1440" w:bottom="1440" w:left="1440" w:header="720" w:footer="720" w:gutter="0"/>
      <w:pgNumType w:fmt="decimal"/>
    </w:sectPr>
  </w:body>
</w:document>
</file>

<file path=word/fontTable.xml><?xml version="1.0" encoding="utf-8"?>
<w:fonts xmlns:w="http://schemas.openxmlformats.org/wordprocessingml/2006/main">
  <w:font w:name="Inter">
    <w:family w:val="swiss"/>
    <w:pitch w:val="variable"/>
  </w:font>
  <w:font w:name="Inter Tight">
    <w:family w:val="swiss"/>
    <w:pitch w:val="variable"/>
  </w:font>
  <w:font w:name="JetBrains Mono">
    <w:family w:val="modern"/>
    <w:pitch w:val="fixed"/>
  </w:font>
</w:fonts>
</file>

<file path=word/footer1.xml><?xml version="1.0" encoding="utf-8"?>
<w:ftr xmlns:w="http://schemas.openxmlformats.org/wordprocessingml/2006/main">
  <w:p>
    <w:pPr>
      <w:pStyle w:val="Footer"/>
      <w:jc w:val="center"/>
    </w:pPr>
    <w:fldSimple w:instr="PAGE">
      <w:r>
        <w:rPr>
          <w:lang w:val="en-US"/>
        </w:rPr>
        <w:t xml:space="preserve">1</w:t>
      </w:r>
    </w:fldSimple>
    <w:r>
      <w:rPr>
        <w:lang w:val="en-US"/>
      </w:rPr>
      <w:t xml:space="preserve"> / </w:t>
    </w:r>
    <w:fldSimple w:instr="NUMPAGES">
      <w:r>
        <w:rPr>
          <w:lang w:val="en-US"/>
        </w:rPr>
        <w:t xml:space="preserve">1</w:t>
      </w:r>
    </w:fldSimple>
  </w:p>
</w:ftr>
</file>

<file path=word/numbering.xml><?xml version="1.0" encoding="utf-8"?>
<w:numbering xmlns:w="http://schemas.openxmlformats.org/wordprocessingml/2006/main">
  <w:abstractNum w:abstractNumId="1">
    <w:multiLevelType w:val="hybridMultilevel"/>
    <w:lvl w:ilvl="0">
      <w:start w:val="1"/>
      <w:numFmt w:val="bullet"/>
      <w:lvlText w:val="•"/>
      <w:lvlJc w:val="left"/>
      <w:pPr>
        <w:ind w:left="720" w:hanging="360"/>
      </w:pPr>
      <w:rPr>
        <w:color w:val="B0460A"/>
      </w:rPr>
    </w:lvl>
    <w:lvl w:ilvl="1">
      <w:start w:val="1"/>
      <w:numFmt w:val="bullet"/>
      <w:lvlText w:val="◦"/>
      <w:lvlJc w:val="left"/>
      <w:pPr>
        <w:ind w:left="1440" w:hanging="360"/>
      </w:pPr>
      <w:rPr>
        <w:color w:val="56606E"/>
      </w:rPr>
    </w:lvl>
    <w:lvl w:ilvl="2">
      <w:start w:val="1"/>
      <w:numFmt w:val="bullet"/>
      <w:lvlText w:val="▪"/>
      <w:lvlJc w:val="left"/>
      <w:pPr>
        <w:ind w:left="2160" w:hanging="360"/>
      </w:pPr>
      <w:rPr>
        <w:color w:val="56606E"/>
      </w:rPr>
    </w:lvl>
    <w:lvl w:ilvl="3">
      <w:start w:val="1"/>
      <w:numFmt w:val="bullet"/>
      <w:lvlText w:val="•"/>
      <w:lvlJc w:val="left"/>
      <w:pPr>
        <w:ind w:left="2880" w:hanging="360"/>
      </w:pPr>
      <w:rPr>
        <w:color w:val="56606E"/>
      </w:rPr>
    </w:lvl>
    <w:lvl w:ilvl="4">
      <w:start w:val="1"/>
      <w:numFmt w:val="bullet"/>
      <w:lvlText w:val="◦"/>
      <w:lvlJc w:val="left"/>
      <w:pPr>
        <w:ind w:left="3600" w:hanging="360"/>
      </w:pPr>
      <w:rPr>
        <w:color w:val="56606E"/>
      </w:rPr>
    </w:lvl>
    <w:lvl w:ilvl="5">
      <w:start w:val="1"/>
      <w:numFmt w:val="bullet"/>
      <w:lvlText w:val="▪"/>
      <w:lvlJc w:val="left"/>
      <w:pPr>
        <w:ind w:left="4320" w:hanging="360"/>
      </w:pPr>
      <w:rPr>
        <w:color w:val="56606E"/>
      </w:rPr>
    </w:lvl>
    <w:lvl w:ilvl="6">
      <w:start w:val="1"/>
      <w:numFmt w:val="bullet"/>
      <w:lvlText w:val="•"/>
      <w:lvlJc w:val="left"/>
      <w:pPr>
        <w:ind w:left="5040" w:hanging="360"/>
      </w:pPr>
      <w:rPr>
        <w:color w:val="56606E"/>
      </w:rPr>
    </w:lvl>
    <w:lvl w:ilvl="7">
      <w:start w:val="1"/>
      <w:numFmt w:val="bullet"/>
      <w:lvlText w:val="◦"/>
      <w:lvlJc w:val="left"/>
      <w:pPr>
        <w:ind w:left="5760" w:hanging="360"/>
      </w:pPr>
      <w:rPr>
        <w:color w:val="56606E"/>
      </w:rPr>
    </w:lvl>
    <w:lvl w:ilvl="8">
      <w:start w:val="1"/>
      <w:numFmt w:val="bullet"/>
      <w:lvlText w:val="▪"/>
      <w:lvlJc w:val="left"/>
      <w:pPr>
        <w:ind w:left="6480" w:hanging="360"/>
      </w:pPr>
      <w:rPr>
        <w:color w:val="56606E"/>
      </w:rPr>
    </w:lvl>
  </w:abstractNum>
  <w:abstractNum w:abstractNumId="2">
    <w:multiLevelType w:val="hybridMultilevel"/>
    <w:lvl w:ilvl="0">
      <w:start w:val="1"/>
      <w:numFmt w:val="bullet"/>
      <w:lvlText w:val="•"/>
      <w:lvlJc w:val="left"/>
      <w:pPr>
        <w:ind w:left="720" w:hanging="360"/>
      </w:pPr>
      <w:rPr>
        <w:color w:val="B0460A"/>
      </w:rPr>
    </w:lvl>
    <w:lvl w:ilvl="1">
      <w:start w:val="1"/>
      <w:numFmt w:val="bullet"/>
      <w:lvlText w:val="◦"/>
      <w:lvlJc w:val="left"/>
      <w:pPr>
        <w:ind w:left="1440" w:hanging="360"/>
      </w:pPr>
      <w:rPr>
        <w:color w:val="56606E"/>
      </w:rPr>
    </w:lvl>
    <w:lvl w:ilvl="2">
      <w:start w:val="1"/>
      <w:numFmt w:val="bullet"/>
      <w:lvlText w:val="▪"/>
      <w:lvlJc w:val="left"/>
      <w:pPr>
        <w:ind w:left="2160" w:hanging="360"/>
      </w:pPr>
      <w:rPr>
        <w:color w:val="56606E"/>
      </w:rPr>
    </w:lvl>
    <w:lvl w:ilvl="3">
      <w:start w:val="1"/>
      <w:numFmt w:val="bullet"/>
      <w:lvlText w:val="•"/>
      <w:lvlJc w:val="left"/>
      <w:pPr>
        <w:ind w:left="2880" w:hanging="360"/>
      </w:pPr>
      <w:rPr>
        <w:color w:val="56606E"/>
      </w:rPr>
    </w:lvl>
    <w:lvl w:ilvl="4">
      <w:start w:val="1"/>
      <w:numFmt w:val="bullet"/>
      <w:lvlText w:val="◦"/>
      <w:lvlJc w:val="left"/>
      <w:pPr>
        <w:ind w:left="3600" w:hanging="360"/>
      </w:pPr>
      <w:rPr>
        <w:color w:val="56606E"/>
      </w:rPr>
    </w:lvl>
    <w:lvl w:ilvl="5">
      <w:start w:val="1"/>
      <w:numFmt w:val="bullet"/>
      <w:lvlText w:val="▪"/>
      <w:lvlJc w:val="left"/>
      <w:pPr>
        <w:ind w:left="4320" w:hanging="360"/>
      </w:pPr>
      <w:rPr>
        <w:color w:val="56606E"/>
      </w:rPr>
    </w:lvl>
    <w:lvl w:ilvl="6">
      <w:start w:val="1"/>
      <w:numFmt w:val="bullet"/>
      <w:lvlText w:val="•"/>
      <w:lvlJc w:val="left"/>
      <w:pPr>
        <w:ind w:left="5040" w:hanging="360"/>
      </w:pPr>
      <w:rPr>
        <w:color w:val="56606E"/>
      </w:rPr>
    </w:lvl>
    <w:lvl w:ilvl="7">
      <w:start w:val="1"/>
      <w:numFmt w:val="bullet"/>
      <w:lvlText w:val="◦"/>
      <w:lvlJc w:val="left"/>
      <w:pPr>
        <w:ind w:left="5760" w:hanging="360"/>
      </w:pPr>
      <w:rPr>
        <w:color w:val="56606E"/>
      </w:rPr>
    </w:lvl>
    <w:lvl w:ilvl="8">
      <w:start w:val="1"/>
      <w:numFmt w:val="bullet"/>
      <w:lvlText w:val="▪"/>
      <w:lvlJc w:val="left"/>
      <w:pPr>
        <w:ind w:left="6480" w:hanging="360"/>
      </w:pPr>
      <w:rPr>
        <w:color w:val="56606E"/>
      </w:rPr>
    </w:lvl>
  </w:abstractNum>
  <w:abstractNum w:abstractNumId="3">
    <w:multiLevelType w:val="hybridMultilevel"/>
    <w:lvl w:ilvl="0">
      <w:start w:val="1"/>
      <w:numFmt w:val="bullet"/>
      <w:lvlText w:val="•"/>
      <w:lvlJc w:val="left"/>
      <w:pPr>
        <w:ind w:left="720" w:hanging="360"/>
      </w:pPr>
      <w:rPr>
        <w:color w:val="B0460A"/>
      </w:rPr>
    </w:lvl>
    <w:lvl w:ilvl="1">
      <w:start w:val="1"/>
      <w:numFmt w:val="bullet"/>
      <w:lvlText w:val="◦"/>
      <w:lvlJc w:val="left"/>
      <w:pPr>
        <w:ind w:left="1440" w:hanging="360"/>
      </w:pPr>
      <w:rPr>
        <w:color w:val="56606E"/>
      </w:rPr>
    </w:lvl>
    <w:lvl w:ilvl="2">
      <w:start w:val="1"/>
      <w:numFmt w:val="bullet"/>
      <w:lvlText w:val="▪"/>
      <w:lvlJc w:val="left"/>
      <w:pPr>
        <w:ind w:left="2160" w:hanging="360"/>
      </w:pPr>
      <w:rPr>
        <w:color w:val="56606E"/>
      </w:rPr>
    </w:lvl>
    <w:lvl w:ilvl="3">
      <w:start w:val="1"/>
      <w:numFmt w:val="bullet"/>
      <w:lvlText w:val="•"/>
      <w:lvlJc w:val="left"/>
      <w:pPr>
        <w:ind w:left="2880" w:hanging="360"/>
      </w:pPr>
      <w:rPr>
        <w:color w:val="56606E"/>
      </w:rPr>
    </w:lvl>
    <w:lvl w:ilvl="4">
      <w:start w:val="1"/>
      <w:numFmt w:val="bullet"/>
      <w:lvlText w:val="◦"/>
      <w:lvlJc w:val="left"/>
      <w:pPr>
        <w:ind w:left="3600" w:hanging="360"/>
      </w:pPr>
      <w:rPr>
        <w:color w:val="56606E"/>
      </w:rPr>
    </w:lvl>
    <w:lvl w:ilvl="5">
      <w:start w:val="1"/>
      <w:numFmt w:val="bullet"/>
      <w:lvlText w:val="▪"/>
      <w:lvlJc w:val="left"/>
      <w:pPr>
        <w:ind w:left="4320" w:hanging="360"/>
      </w:pPr>
      <w:rPr>
        <w:color w:val="56606E"/>
      </w:rPr>
    </w:lvl>
    <w:lvl w:ilvl="6">
      <w:start w:val="1"/>
      <w:numFmt w:val="bullet"/>
      <w:lvlText w:val="•"/>
      <w:lvlJc w:val="left"/>
      <w:pPr>
        <w:ind w:left="5040" w:hanging="360"/>
      </w:pPr>
      <w:rPr>
        <w:color w:val="56606E"/>
      </w:rPr>
    </w:lvl>
    <w:lvl w:ilvl="7">
      <w:start w:val="1"/>
      <w:numFmt w:val="bullet"/>
      <w:lvlText w:val="◦"/>
      <w:lvlJc w:val="left"/>
      <w:pPr>
        <w:ind w:left="5760" w:hanging="360"/>
      </w:pPr>
      <w:rPr>
        <w:color w:val="56606E"/>
      </w:rPr>
    </w:lvl>
    <w:lvl w:ilvl="8">
      <w:start w:val="1"/>
      <w:numFmt w:val="bullet"/>
      <w:lvlText w:val="▪"/>
      <w:lvlJc w:val="left"/>
      <w:pPr>
        <w:ind w:left="6480" w:hanging="360"/>
      </w:pPr>
      <w:rPr>
        <w:color w:val="56606E"/>
      </w:rPr>
    </w:lvl>
  </w:abstractNum>
  <w:abstractNum w:abstractNumId="4">
    <w:multiLevelType w:val="hybridMultilevel"/>
    <w:lvl w:ilvl="0">
      <w:start w:val="1"/>
      <w:numFmt w:val="decimal"/>
      <w:lvlText w:val="%1."/>
      <w:lvlJc w:val="left"/>
      <w:pPr>
        <w:ind w:left="720" w:hanging="360"/>
      </w:pPr>
      <w:rPr>
        <w:b/>
        <w:color w:val="B0460A"/>
      </w:rPr>
    </w:lvl>
    <w:lvl w:ilvl="1">
      <w:start w:val="1"/>
      <w:numFmt w:val="decimal"/>
      <w:lvlText w:val="%2."/>
      <w:lvlJc w:val="left"/>
      <w:pPr>
        <w:ind w:left="1440" w:hanging="360"/>
      </w:pPr>
      <w:rPr>
        <w:b/>
        <w:color w:val="B0460A"/>
      </w:rPr>
    </w:lvl>
    <w:lvl w:ilvl="2">
      <w:start w:val="1"/>
      <w:numFmt w:val="decimal"/>
      <w:lvlText w:val="%3."/>
      <w:lvlJc w:val="left"/>
      <w:pPr>
        <w:ind w:left="2160" w:hanging="360"/>
      </w:pPr>
      <w:rPr>
        <w:b/>
        <w:color w:val="B0460A"/>
      </w:rPr>
    </w:lvl>
    <w:lvl w:ilvl="3">
      <w:start w:val="1"/>
      <w:numFmt w:val="decimal"/>
      <w:lvlText w:val="%4."/>
      <w:lvlJc w:val="left"/>
      <w:pPr>
        <w:ind w:left="2880" w:hanging="360"/>
      </w:pPr>
      <w:rPr>
        <w:b/>
        <w:color w:val="B0460A"/>
      </w:rPr>
    </w:lvl>
    <w:lvl w:ilvl="4">
      <w:start w:val="1"/>
      <w:numFmt w:val="decimal"/>
      <w:lvlText w:val="%5."/>
      <w:lvlJc w:val="left"/>
      <w:pPr>
        <w:ind w:left="3600" w:hanging="360"/>
      </w:pPr>
      <w:rPr>
        <w:b/>
        <w:color w:val="B0460A"/>
      </w:rPr>
    </w:lvl>
    <w:lvl w:ilvl="5">
      <w:start w:val="1"/>
      <w:numFmt w:val="decimal"/>
      <w:lvlText w:val="%6."/>
      <w:lvlJc w:val="left"/>
      <w:pPr>
        <w:ind w:left="4320" w:hanging="360"/>
      </w:pPr>
      <w:rPr>
        <w:b/>
        <w:color w:val="B0460A"/>
      </w:rPr>
    </w:lvl>
    <w:lvl w:ilvl="6">
      <w:start w:val="1"/>
      <w:numFmt w:val="decimal"/>
      <w:lvlText w:val="%7."/>
      <w:lvlJc w:val="left"/>
      <w:pPr>
        <w:ind w:left="5040" w:hanging="360"/>
      </w:pPr>
      <w:rPr>
        <w:b/>
        <w:color w:val="B0460A"/>
      </w:rPr>
    </w:lvl>
    <w:lvl w:ilvl="7">
      <w:start w:val="1"/>
      <w:numFmt w:val="decimal"/>
      <w:lvlText w:val="%8."/>
      <w:lvlJc w:val="left"/>
      <w:pPr>
        <w:ind w:left="5760" w:hanging="360"/>
      </w:pPr>
      <w:rPr>
        <w:b/>
        <w:color w:val="B0460A"/>
      </w:rPr>
    </w:lvl>
    <w:lvl w:ilvl="8">
      <w:start w:val="1"/>
      <w:numFmt w:val="decimal"/>
      <w:lvlText w:val="%9."/>
      <w:lvlJc w:val="left"/>
      <w:pPr>
        <w:ind w:left="6480" w:hanging="360"/>
      </w:pPr>
      <w:rPr>
        <w:b/>
        <w:color w:val="B0460A"/>
      </w:rPr>
    </w:lvl>
  </w:abstractNum>
  <w:abstractNum w:abstractNumId="5">
    <w:multiLevelType w:val="hybridMultilevel"/>
    <w:lvl w:ilvl="0">
      <w:start w:val="1"/>
      <w:numFmt w:val="decimal"/>
      <w:lvlText w:val="%1."/>
      <w:lvlJc w:val="left"/>
      <w:pPr>
        <w:ind w:left="720" w:hanging="360"/>
      </w:pPr>
      <w:rPr>
        <w:b/>
        <w:color w:val="B0460A"/>
      </w:rPr>
    </w:lvl>
    <w:lvl w:ilvl="1">
      <w:start w:val="1"/>
      <w:numFmt w:val="decimal"/>
      <w:lvlText w:val="%2."/>
      <w:lvlJc w:val="left"/>
      <w:pPr>
        <w:ind w:left="1440" w:hanging="360"/>
      </w:pPr>
      <w:rPr>
        <w:b/>
        <w:color w:val="B0460A"/>
      </w:rPr>
    </w:lvl>
    <w:lvl w:ilvl="2">
      <w:start w:val="1"/>
      <w:numFmt w:val="decimal"/>
      <w:lvlText w:val="%3."/>
      <w:lvlJc w:val="left"/>
      <w:pPr>
        <w:ind w:left="2160" w:hanging="360"/>
      </w:pPr>
      <w:rPr>
        <w:b/>
        <w:color w:val="B0460A"/>
      </w:rPr>
    </w:lvl>
    <w:lvl w:ilvl="3">
      <w:start w:val="1"/>
      <w:numFmt w:val="decimal"/>
      <w:lvlText w:val="%4."/>
      <w:lvlJc w:val="left"/>
      <w:pPr>
        <w:ind w:left="2880" w:hanging="360"/>
      </w:pPr>
      <w:rPr>
        <w:b/>
        <w:color w:val="B0460A"/>
      </w:rPr>
    </w:lvl>
    <w:lvl w:ilvl="4">
      <w:start w:val="1"/>
      <w:numFmt w:val="decimal"/>
      <w:lvlText w:val="%5."/>
      <w:lvlJc w:val="left"/>
      <w:pPr>
        <w:ind w:left="3600" w:hanging="360"/>
      </w:pPr>
      <w:rPr>
        <w:b/>
        <w:color w:val="B0460A"/>
      </w:rPr>
    </w:lvl>
    <w:lvl w:ilvl="5">
      <w:start w:val="1"/>
      <w:numFmt w:val="decimal"/>
      <w:lvlText w:val="%6."/>
      <w:lvlJc w:val="left"/>
      <w:pPr>
        <w:ind w:left="4320" w:hanging="360"/>
      </w:pPr>
      <w:rPr>
        <w:b/>
        <w:color w:val="B0460A"/>
      </w:rPr>
    </w:lvl>
    <w:lvl w:ilvl="6">
      <w:start w:val="1"/>
      <w:numFmt w:val="decimal"/>
      <w:lvlText w:val="%7."/>
      <w:lvlJc w:val="left"/>
      <w:pPr>
        <w:ind w:left="5040" w:hanging="360"/>
      </w:pPr>
      <w:rPr>
        <w:b/>
        <w:color w:val="B0460A"/>
      </w:rPr>
    </w:lvl>
    <w:lvl w:ilvl="7">
      <w:start w:val="1"/>
      <w:numFmt w:val="decimal"/>
      <w:lvlText w:val="%8."/>
      <w:lvlJc w:val="left"/>
      <w:pPr>
        <w:ind w:left="5760" w:hanging="360"/>
      </w:pPr>
      <w:rPr>
        <w:b/>
        <w:color w:val="B0460A"/>
      </w:rPr>
    </w:lvl>
    <w:lvl w:ilvl="8">
      <w:start w:val="1"/>
      <w:numFmt w:val="decimal"/>
      <w:lvlText w:val="%9."/>
      <w:lvlJc w:val="left"/>
      <w:pPr>
        <w:ind w:left="6480" w:hanging="360"/>
      </w:pPr>
      <w:rPr>
        <w:b/>
        <w:color w:val="B0460A"/>
      </w:rPr>
    </w:lvl>
  </w:abstractNum>
  <w:abstractNum w:abstractNumId="6">
    <w:multiLevelType w:val="hybridMultilevel"/>
    <w:lvl w:ilvl="0">
      <w:start w:val="1"/>
      <w:numFmt w:val="decimal"/>
      <w:lvlText w:val="%1."/>
      <w:lvlJc w:val="left"/>
      <w:pPr>
        <w:ind w:left="720" w:hanging="360"/>
      </w:pPr>
      <w:rPr>
        <w:b/>
        <w:color w:val="B0460A"/>
      </w:rPr>
    </w:lvl>
    <w:lvl w:ilvl="1">
      <w:start w:val="1"/>
      <w:numFmt w:val="decimal"/>
      <w:lvlText w:val="%2."/>
      <w:lvlJc w:val="left"/>
      <w:pPr>
        <w:ind w:left="1440" w:hanging="360"/>
      </w:pPr>
      <w:rPr>
        <w:b/>
        <w:color w:val="B0460A"/>
      </w:rPr>
    </w:lvl>
    <w:lvl w:ilvl="2">
      <w:start w:val="1"/>
      <w:numFmt w:val="decimal"/>
      <w:lvlText w:val="%3."/>
      <w:lvlJc w:val="left"/>
      <w:pPr>
        <w:ind w:left="2160" w:hanging="360"/>
      </w:pPr>
      <w:rPr>
        <w:b/>
        <w:color w:val="B0460A"/>
      </w:rPr>
    </w:lvl>
    <w:lvl w:ilvl="3">
      <w:start w:val="1"/>
      <w:numFmt w:val="decimal"/>
      <w:lvlText w:val="%4."/>
      <w:lvlJc w:val="left"/>
      <w:pPr>
        <w:ind w:left="2880" w:hanging="360"/>
      </w:pPr>
      <w:rPr>
        <w:b/>
        <w:color w:val="B0460A"/>
      </w:rPr>
    </w:lvl>
    <w:lvl w:ilvl="4">
      <w:start w:val="1"/>
      <w:numFmt w:val="decimal"/>
      <w:lvlText w:val="%5."/>
      <w:lvlJc w:val="left"/>
      <w:pPr>
        <w:ind w:left="3600" w:hanging="360"/>
      </w:pPr>
      <w:rPr>
        <w:b/>
        <w:color w:val="B0460A"/>
      </w:rPr>
    </w:lvl>
    <w:lvl w:ilvl="5">
      <w:start w:val="1"/>
      <w:numFmt w:val="decimal"/>
      <w:lvlText w:val="%6."/>
      <w:lvlJc w:val="left"/>
      <w:pPr>
        <w:ind w:left="4320" w:hanging="360"/>
      </w:pPr>
      <w:rPr>
        <w:b/>
        <w:color w:val="B0460A"/>
      </w:rPr>
    </w:lvl>
    <w:lvl w:ilvl="6">
      <w:start w:val="1"/>
      <w:numFmt w:val="decimal"/>
      <w:lvlText w:val="%7."/>
      <w:lvlJc w:val="left"/>
      <w:pPr>
        <w:ind w:left="5040" w:hanging="360"/>
      </w:pPr>
      <w:rPr>
        <w:b/>
        <w:color w:val="B0460A"/>
      </w:rPr>
    </w:lvl>
    <w:lvl w:ilvl="7">
      <w:start w:val="1"/>
      <w:numFmt w:val="decimal"/>
      <w:lvlText w:val="%8."/>
      <w:lvlJc w:val="left"/>
      <w:pPr>
        <w:ind w:left="5760" w:hanging="360"/>
      </w:pPr>
      <w:rPr>
        <w:b/>
        <w:color w:val="B0460A"/>
      </w:rPr>
    </w:lvl>
    <w:lvl w:ilvl="8">
      <w:start w:val="1"/>
      <w:numFmt w:val="decimal"/>
      <w:lvlText w:val="%9."/>
      <w:lvlJc w:val="left"/>
      <w:pPr>
        <w:ind w:left="6480" w:hanging="360"/>
      </w:pPr>
      <w:rPr>
        <w:b/>
        <w:color w:val="B0460A"/>
      </w:rPr>
    </w:lvl>
  </w:abstractNum>
  <w:abstractNum w:abstractNumId="7">
    <w:multiLevelType w:val="hybridMultilevel"/>
    <w:lvl w:ilvl="0">
      <w:start w:val="1"/>
      <w:numFmt w:val="decimal"/>
      <w:lvlText w:val="%1."/>
      <w:lvlJc w:val="left"/>
      <w:pPr>
        <w:ind w:left="720" w:hanging="360"/>
      </w:pPr>
      <w:rPr>
        <w:b/>
        <w:color w:val="B0460A"/>
      </w:rPr>
    </w:lvl>
    <w:lvl w:ilvl="1">
      <w:start w:val="1"/>
      <w:numFmt w:val="decimal"/>
      <w:lvlText w:val="%2."/>
      <w:lvlJc w:val="left"/>
      <w:pPr>
        <w:ind w:left="1440" w:hanging="360"/>
      </w:pPr>
      <w:rPr>
        <w:b/>
        <w:color w:val="B0460A"/>
      </w:rPr>
    </w:lvl>
    <w:lvl w:ilvl="2">
      <w:start w:val="1"/>
      <w:numFmt w:val="decimal"/>
      <w:lvlText w:val="%3."/>
      <w:lvlJc w:val="left"/>
      <w:pPr>
        <w:ind w:left="2160" w:hanging="360"/>
      </w:pPr>
      <w:rPr>
        <w:b/>
        <w:color w:val="B0460A"/>
      </w:rPr>
    </w:lvl>
    <w:lvl w:ilvl="3">
      <w:start w:val="1"/>
      <w:numFmt w:val="decimal"/>
      <w:lvlText w:val="%4."/>
      <w:lvlJc w:val="left"/>
      <w:pPr>
        <w:ind w:left="2880" w:hanging="360"/>
      </w:pPr>
      <w:rPr>
        <w:b/>
        <w:color w:val="B0460A"/>
      </w:rPr>
    </w:lvl>
    <w:lvl w:ilvl="4">
      <w:start w:val="1"/>
      <w:numFmt w:val="decimal"/>
      <w:lvlText w:val="%5."/>
      <w:lvlJc w:val="left"/>
      <w:pPr>
        <w:ind w:left="3600" w:hanging="360"/>
      </w:pPr>
      <w:rPr>
        <w:b/>
        <w:color w:val="B0460A"/>
      </w:rPr>
    </w:lvl>
    <w:lvl w:ilvl="5">
      <w:start w:val="1"/>
      <w:numFmt w:val="decimal"/>
      <w:lvlText w:val="%6."/>
      <w:lvlJc w:val="left"/>
      <w:pPr>
        <w:ind w:left="4320" w:hanging="360"/>
      </w:pPr>
      <w:rPr>
        <w:b/>
        <w:color w:val="B0460A"/>
      </w:rPr>
    </w:lvl>
    <w:lvl w:ilvl="6">
      <w:start w:val="1"/>
      <w:numFmt w:val="decimal"/>
      <w:lvlText w:val="%7."/>
      <w:lvlJc w:val="left"/>
      <w:pPr>
        <w:ind w:left="5040" w:hanging="360"/>
      </w:pPr>
      <w:rPr>
        <w:b/>
        <w:color w:val="B0460A"/>
      </w:rPr>
    </w:lvl>
    <w:lvl w:ilvl="7">
      <w:start w:val="1"/>
      <w:numFmt w:val="decimal"/>
      <w:lvlText w:val="%8."/>
      <w:lvlJc w:val="left"/>
      <w:pPr>
        <w:ind w:left="5760" w:hanging="360"/>
      </w:pPr>
      <w:rPr>
        <w:b/>
        <w:color w:val="B0460A"/>
      </w:rPr>
    </w:lvl>
    <w:lvl w:ilvl="8">
      <w:start w:val="1"/>
      <w:numFmt w:val="decimal"/>
      <w:lvlText w:val="%9."/>
      <w:lvlJc w:val="left"/>
      <w:pPr>
        <w:ind w:left="6480" w:hanging="360"/>
      </w:pPr>
      <w:rPr>
        <w:b/>
        <w:color w:val="B0460A"/>
      </w:rPr>
    </w:lvl>
  </w:abstractNum>
  <w:abstractNum w:abstractNumId="8">
    <w:multiLevelType w:val="hybridMultilevel"/>
    <w:lvl w:ilvl="0">
      <w:start w:val="1"/>
      <w:numFmt w:val="decimal"/>
      <w:lvlText w:val="%1."/>
      <w:lvlJc w:val="left"/>
      <w:pPr>
        <w:ind w:left="720" w:hanging="360"/>
      </w:pPr>
      <w:rPr>
        <w:b/>
        <w:color w:val="B0460A"/>
      </w:rPr>
    </w:lvl>
    <w:lvl w:ilvl="1">
      <w:start w:val="1"/>
      <w:numFmt w:val="decimal"/>
      <w:lvlText w:val="%2."/>
      <w:lvlJc w:val="left"/>
      <w:pPr>
        <w:ind w:left="1440" w:hanging="360"/>
      </w:pPr>
      <w:rPr>
        <w:b/>
        <w:color w:val="B0460A"/>
      </w:rPr>
    </w:lvl>
    <w:lvl w:ilvl="2">
      <w:start w:val="1"/>
      <w:numFmt w:val="decimal"/>
      <w:lvlText w:val="%3."/>
      <w:lvlJc w:val="left"/>
      <w:pPr>
        <w:ind w:left="2160" w:hanging="360"/>
      </w:pPr>
      <w:rPr>
        <w:b/>
        <w:color w:val="B0460A"/>
      </w:rPr>
    </w:lvl>
    <w:lvl w:ilvl="3">
      <w:start w:val="1"/>
      <w:numFmt w:val="decimal"/>
      <w:lvlText w:val="%4."/>
      <w:lvlJc w:val="left"/>
      <w:pPr>
        <w:ind w:left="2880" w:hanging="360"/>
      </w:pPr>
      <w:rPr>
        <w:b/>
        <w:color w:val="B0460A"/>
      </w:rPr>
    </w:lvl>
    <w:lvl w:ilvl="4">
      <w:start w:val="1"/>
      <w:numFmt w:val="decimal"/>
      <w:lvlText w:val="%5."/>
      <w:lvlJc w:val="left"/>
      <w:pPr>
        <w:ind w:left="3600" w:hanging="360"/>
      </w:pPr>
      <w:rPr>
        <w:b/>
        <w:color w:val="B0460A"/>
      </w:rPr>
    </w:lvl>
    <w:lvl w:ilvl="5">
      <w:start w:val="1"/>
      <w:numFmt w:val="decimal"/>
      <w:lvlText w:val="%6."/>
      <w:lvlJc w:val="left"/>
      <w:pPr>
        <w:ind w:left="4320" w:hanging="360"/>
      </w:pPr>
      <w:rPr>
        <w:b/>
        <w:color w:val="B0460A"/>
      </w:rPr>
    </w:lvl>
    <w:lvl w:ilvl="6">
      <w:start w:val="1"/>
      <w:numFmt w:val="decimal"/>
      <w:lvlText w:val="%7."/>
      <w:lvlJc w:val="left"/>
      <w:pPr>
        <w:ind w:left="5040" w:hanging="360"/>
      </w:pPr>
      <w:rPr>
        <w:b/>
        <w:color w:val="B0460A"/>
      </w:rPr>
    </w:lvl>
    <w:lvl w:ilvl="7">
      <w:start w:val="1"/>
      <w:numFmt w:val="decimal"/>
      <w:lvlText w:val="%8."/>
      <w:lvlJc w:val="left"/>
      <w:pPr>
        <w:ind w:left="5760" w:hanging="360"/>
      </w:pPr>
      <w:rPr>
        <w:b/>
        <w:color w:val="B0460A"/>
      </w:rPr>
    </w:lvl>
    <w:lvl w:ilvl="8">
      <w:start w:val="1"/>
      <w:numFmt w:val="decimal"/>
      <w:lvlText w:val="%9."/>
      <w:lvlJc w:val="left"/>
      <w:pPr>
        <w:ind w:left="6480" w:hanging="360"/>
      </w:pPr>
      <w:rPr>
        <w:b/>
        <w:color w:val="B0460A"/>
      </w:rPr>
    </w:lvl>
  </w:abstractNum>
  <w:abstractNum w:abstractNumId="9">
    <w:multiLevelType w:val="hybridMultilevel"/>
    <w:lvl w:ilvl="0">
      <w:start w:val="1"/>
      <w:numFmt w:val="decimal"/>
      <w:lvlText w:val="%1."/>
      <w:lvlJc w:val="left"/>
      <w:pPr>
        <w:ind w:left="720" w:hanging="360"/>
      </w:pPr>
      <w:rPr>
        <w:b/>
        <w:color w:val="B0460A"/>
      </w:rPr>
    </w:lvl>
    <w:lvl w:ilvl="1">
      <w:start w:val="1"/>
      <w:numFmt w:val="decimal"/>
      <w:lvlText w:val="%2."/>
      <w:lvlJc w:val="left"/>
      <w:pPr>
        <w:ind w:left="1440" w:hanging="360"/>
      </w:pPr>
      <w:rPr>
        <w:b/>
        <w:color w:val="B0460A"/>
      </w:rPr>
    </w:lvl>
    <w:lvl w:ilvl="2">
      <w:start w:val="1"/>
      <w:numFmt w:val="decimal"/>
      <w:lvlText w:val="%3."/>
      <w:lvlJc w:val="left"/>
      <w:pPr>
        <w:ind w:left="2160" w:hanging="360"/>
      </w:pPr>
      <w:rPr>
        <w:b/>
        <w:color w:val="B0460A"/>
      </w:rPr>
    </w:lvl>
    <w:lvl w:ilvl="3">
      <w:start w:val="1"/>
      <w:numFmt w:val="decimal"/>
      <w:lvlText w:val="%4."/>
      <w:lvlJc w:val="left"/>
      <w:pPr>
        <w:ind w:left="2880" w:hanging="360"/>
      </w:pPr>
      <w:rPr>
        <w:b/>
        <w:color w:val="B0460A"/>
      </w:rPr>
    </w:lvl>
    <w:lvl w:ilvl="4">
      <w:start w:val="1"/>
      <w:numFmt w:val="decimal"/>
      <w:lvlText w:val="%5."/>
      <w:lvlJc w:val="left"/>
      <w:pPr>
        <w:ind w:left="3600" w:hanging="360"/>
      </w:pPr>
      <w:rPr>
        <w:b/>
        <w:color w:val="B0460A"/>
      </w:rPr>
    </w:lvl>
    <w:lvl w:ilvl="5">
      <w:start w:val="1"/>
      <w:numFmt w:val="decimal"/>
      <w:lvlText w:val="%6."/>
      <w:lvlJc w:val="left"/>
      <w:pPr>
        <w:ind w:left="4320" w:hanging="360"/>
      </w:pPr>
      <w:rPr>
        <w:b/>
        <w:color w:val="B0460A"/>
      </w:rPr>
    </w:lvl>
    <w:lvl w:ilvl="6">
      <w:start w:val="1"/>
      <w:numFmt w:val="decimal"/>
      <w:lvlText w:val="%7."/>
      <w:lvlJc w:val="left"/>
      <w:pPr>
        <w:ind w:left="5040" w:hanging="360"/>
      </w:pPr>
      <w:rPr>
        <w:b/>
        <w:color w:val="B0460A"/>
      </w:rPr>
    </w:lvl>
    <w:lvl w:ilvl="7">
      <w:start w:val="1"/>
      <w:numFmt w:val="decimal"/>
      <w:lvlText w:val="%8."/>
      <w:lvlJc w:val="left"/>
      <w:pPr>
        <w:ind w:left="5760" w:hanging="360"/>
      </w:pPr>
      <w:rPr>
        <w:b/>
        <w:color w:val="B0460A"/>
      </w:rPr>
    </w:lvl>
    <w:lvl w:ilvl="8">
      <w:start w:val="1"/>
      <w:numFmt w:val="decimal"/>
      <w:lvlText w:val="%9."/>
      <w:lvlJc w:val="left"/>
      <w:pPr>
        <w:ind w:left="6480" w:hanging="360"/>
      </w:pPr>
      <w:rPr>
        <w:b/>
        <w:color w:val="B0460A"/>
      </w:rPr>
    </w:lvl>
  </w:abstractNum>
  <w:abstractNum w:abstractNumId="10">
    <w:multiLevelType w:val="hybridMultilevel"/>
    <w:lvl w:ilvl="0">
      <w:start w:val="1"/>
      <w:numFmt w:val="decimal"/>
      <w:lvlText w:val="%1."/>
      <w:lvlJc w:val="left"/>
      <w:pPr>
        <w:ind w:left="720" w:hanging="360"/>
      </w:pPr>
      <w:rPr>
        <w:b/>
        <w:color w:val="B0460A"/>
      </w:rPr>
    </w:lvl>
    <w:lvl w:ilvl="1">
      <w:start w:val="1"/>
      <w:numFmt w:val="decimal"/>
      <w:lvlText w:val="%2."/>
      <w:lvlJc w:val="left"/>
      <w:pPr>
        <w:ind w:left="1440" w:hanging="360"/>
      </w:pPr>
      <w:rPr>
        <w:b/>
        <w:color w:val="B0460A"/>
      </w:rPr>
    </w:lvl>
    <w:lvl w:ilvl="2">
      <w:start w:val="1"/>
      <w:numFmt w:val="decimal"/>
      <w:lvlText w:val="%3."/>
      <w:lvlJc w:val="left"/>
      <w:pPr>
        <w:ind w:left="2160" w:hanging="360"/>
      </w:pPr>
      <w:rPr>
        <w:b/>
        <w:color w:val="B0460A"/>
      </w:rPr>
    </w:lvl>
    <w:lvl w:ilvl="3">
      <w:start w:val="1"/>
      <w:numFmt w:val="decimal"/>
      <w:lvlText w:val="%4."/>
      <w:lvlJc w:val="left"/>
      <w:pPr>
        <w:ind w:left="2880" w:hanging="360"/>
      </w:pPr>
      <w:rPr>
        <w:b/>
        <w:color w:val="B0460A"/>
      </w:rPr>
    </w:lvl>
    <w:lvl w:ilvl="4">
      <w:start w:val="1"/>
      <w:numFmt w:val="decimal"/>
      <w:lvlText w:val="%5."/>
      <w:lvlJc w:val="left"/>
      <w:pPr>
        <w:ind w:left="3600" w:hanging="360"/>
      </w:pPr>
      <w:rPr>
        <w:b/>
        <w:color w:val="B0460A"/>
      </w:rPr>
    </w:lvl>
    <w:lvl w:ilvl="5">
      <w:start w:val="1"/>
      <w:numFmt w:val="decimal"/>
      <w:lvlText w:val="%6."/>
      <w:lvlJc w:val="left"/>
      <w:pPr>
        <w:ind w:left="4320" w:hanging="360"/>
      </w:pPr>
      <w:rPr>
        <w:b/>
        <w:color w:val="B0460A"/>
      </w:rPr>
    </w:lvl>
    <w:lvl w:ilvl="6">
      <w:start w:val="1"/>
      <w:numFmt w:val="decimal"/>
      <w:lvlText w:val="%7."/>
      <w:lvlJc w:val="left"/>
      <w:pPr>
        <w:ind w:left="5040" w:hanging="360"/>
      </w:pPr>
      <w:rPr>
        <w:b/>
        <w:color w:val="B0460A"/>
      </w:rPr>
    </w:lvl>
    <w:lvl w:ilvl="7">
      <w:start w:val="1"/>
      <w:numFmt w:val="decimal"/>
      <w:lvlText w:val="%8."/>
      <w:lvlJc w:val="left"/>
      <w:pPr>
        <w:ind w:left="5760" w:hanging="360"/>
      </w:pPr>
      <w:rPr>
        <w:b/>
        <w:color w:val="B0460A"/>
      </w:rPr>
    </w:lvl>
    <w:lvl w:ilvl="8">
      <w:start w:val="1"/>
      <w:numFmt w:val="decimal"/>
      <w:lvlText w:val="%9."/>
      <w:lvlJc w:val="left"/>
      <w:pPr>
        <w:ind w:left="6480" w:hanging="360"/>
      </w:pPr>
      <w:rPr>
        <w:b/>
        <w:color w:val="B0460A"/>
      </w:rPr>
    </w:lvl>
  </w:abstractNum>
  <w:abstractNum w:abstractNumId="11">
    <w:multiLevelType w:val="hybridMultilevel"/>
    <w:lvl w:ilvl="0">
      <w:start w:val="1"/>
      <w:numFmt w:val="decimal"/>
      <w:lvlText w:val="%1."/>
      <w:lvlJc w:val="left"/>
      <w:pPr>
        <w:ind w:left="720" w:hanging="360"/>
      </w:pPr>
      <w:rPr>
        <w:b/>
        <w:color w:val="B0460A"/>
      </w:rPr>
    </w:lvl>
    <w:lvl w:ilvl="1">
      <w:start w:val="1"/>
      <w:numFmt w:val="decimal"/>
      <w:lvlText w:val="%2."/>
      <w:lvlJc w:val="left"/>
      <w:pPr>
        <w:ind w:left="1440" w:hanging="360"/>
      </w:pPr>
      <w:rPr>
        <w:b/>
        <w:color w:val="B0460A"/>
      </w:rPr>
    </w:lvl>
    <w:lvl w:ilvl="2">
      <w:start w:val="1"/>
      <w:numFmt w:val="decimal"/>
      <w:lvlText w:val="%3."/>
      <w:lvlJc w:val="left"/>
      <w:pPr>
        <w:ind w:left="2160" w:hanging="360"/>
      </w:pPr>
      <w:rPr>
        <w:b/>
        <w:color w:val="B0460A"/>
      </w:rPr>
    </w:lvl>
    <w:lvl w:ilvl="3">
      <w:start w:val="1"/>
      <w:numFmt w:val="decimal"/>
      <w:lvlText w:val="%4."/>
      <w:lvlJc w:val="left"/>
      <w:pPr>
        <w:ind w:left="2880" w:hanging="360"/>
      </w:pPr>
      <w:rPr>
        <w:b/>
        <w:color w:val="B0460A"/>
      </w:rPr>
    </w:lvl>
    <w:lvl w:ilvl="4">
      <w:start w:val="1"/>
      <w:numFmt w:val="decimal"/>
      <w:lvlText w:val="%5."/>
      <w:lvlJc w:val="left"/>
      <w:pPr>
        <w:ind w:left="3600" w:hanging="360"/>
      </w:pPr>
      <w:rPr>
        <w:b/>
        <w:color w:val="B0460A"/>
      </w:rPr>
    </w:lvl>
    <w:lvl w:ilvl="5">
      <w:start w:val="1"/>
      <w:numFmt w:val="decimal"/>
      <w:lvlText w:val="%6."/>
      <w:lvlJc w:val="left"/>
      <w:pPr>
        <w:ind w:left="4320" w:hanging="360"/>
      </w:pPr>
      <w:rPr>
        <w:b/>
        <w:color w:val="B0460A"/>
      </w:rPr>
    </w:lvl>
    <w:lvl w:ilvl="6">
      <w:start w:val="1"/>
      <w:numFmt w:val="decimal"/>
      <w:lvlText w:val="%7."/>
      <w:lvlJc w:val="left"/>
      <w:pPr>
        <w:ind w:left="5040" w:hanging="360"/>
      </w:pPr>
      <w:rPr>
        <w:b/>
        <w:color w:val="B0460A"/>
      </w:rPr>
    </w:lvl>
    <w:lvl w:ilvl="7">
      <w:start w:val="1"/>
      <w:numFmt w:val="decimal"/>
      <w:lvlText w:val="%8."/>
      <w:lvlJc w:val="left"/>
      <w:pPr>
        <w:ind w:left="5760" w:hanging="360"/>
      </w:pPr>
      <w:rPr>
        <w:b/>
        <w:color w:val="B0460A"/>
      </w:rPr>
    </w:lvl>
    <w:lvl w:ilvl="8">
      <w:start w:val="1"/>
      <w:numFmt w:val="decimal"/>
      <w:lvlText w:val="%9."/>
      <w:lvlJc w:val="left"/>
      <w:pPr>
        <w:ind w:left="6480" w:hanging="360"/>
      </w:pPr>
      <w:rPr>
        <w:b/>
        <w:color w:val="B0460A"/>
      </w:rPr>
    </w:lvl>
  </w:abstractNum>
  <w:abstractNum w:abstractNumId="12">
    <w:multiLevelType w:val="hybridMultilevel"/>
    <w:lvl w:ilvl="0">
      <w:start w:val="1"/>
      <w:numFmt w:val="decimal"/>
      <w:lvlText w:val="%1."/>
      <w:lvlJc w:val="left"/>
      <w:pPr>
        <w:ind w:left="720" w:hanging="360"/>
      </w:pPr>
      <w:rPr>
        <w:b/>
        <w:color w:val="B0460A"/>
      </w:rPr>
    </w:lvl>
    <w:lvl w:ilvl="1">
      <w:start w:val="1"/>
      <w:numFmt w:val="decimal"/>
      <w:lvlText w:val="%2."/>
      <w:lvlJc w:val="left"/>
      <w:pPr>
        <w:ind w:left="1440" w:hanging="360"/>
      </w:pPr>
      <w:rPr>
        <w:b/>
        <w:color w:val="B0460A"/>
      </w:rPr>
    </w:lvl>
    <w:lvl w:ilvl="2">
      <w:start w:val="1"/>
      <w:numFmt w:val="decimal"/>
      <w:lvlText w:val="%3."/>
      <w:lvlJc w:val="left"/>
      <w:pPr>
        <w:ind w:left="2160" w:hanging="360"/>
      </w:pPr>
      <w:rPr>
        <w:b/>
        <w:color w:val="B0460A"/>
      </w:rPr>
    </w:lvl>
    <w:lvl w:ilvl="3">
      <w:start w:val="1"/>
      <w:numFmt w:val="decimal"/>
      <w:lvlText w:val="%4."/>
      <w:lvlJc w:val="left"/>
      <w:pPr>
        <w:ind w:left="2880" w:hanging="360"/>
      </w:pPr>
      <w:rPr>
        <w:b/>
        <w:color w:val="B0460A"/>
      </w:rPr>
    </w:lvl>
    <w:lvl w:ilvl="4">
      <w:start w:val="1"/>
      <w:numFmt w:val="decimal"/>
      <w:lvlText w:val="%5."/>
      <w:lvlJc w:val="left"/>
      <w:pPr>
        <w:ind w:left="3600" w:hanging="360"/>
      </w:pPr>
      <w:rPr>
        <w:b/>
        <w:color w:val="B0460A"/>
      </w:rPr>
    </w:lvl>
    <w:lvl w:ilvl="5">
      <w:start w:val="1"/>
      <w:numFmt w:val="decimal"/>
      <w:lvlText w:val="%6."/>
      <w:lvlJc w:val="left"/>
      <w:pPr>
        <w:ind w:left="4320" w:hanging="360"/>
      </w:pPr>
      <w:rPr>
        <w:b/>
        <w:color w:val="B0460A"/>
      </w:rPr>
    </w:lvl>
    <w:lvl w:ilvl="6">
      <w:start w:val="1"/>
      <w:numFmt w:val="decimal"/>
      <w:lvlText w:val="%7."/>
      <w:lvlJc w:val="left"/>
      <w:pPr>
        <w:ind w:left="5040" w:hanging="360"/>
      </w:pPr>
      <w:rPr>
        <w:b/>
        <w:color w:val="B0460A"/>
      </w:rPr>
    </w:lvl>
    <w:lvl w:ilvl="7">
      <w:start w:val="1"/>
      <w:numFmt w:val="decimal"/>
      <w:lvlText w:val="%8."/>
      <w:lvlJc w:val="left"/>
      <w:pPr>
        <w:ind w:left="5760" w:hanging="360"/>
      </w:pPr>
      <w:rPr>
        <w:b/>
        <w:color w:val="B0460A"/>
      </w:rPr>
    </w:lvl>
    <w:lvl w:ilvl="8">
      <w:start w:val="1"/>
      <w:numFmt w:val="decimal"/>
      <w:lvlText w:val="%9."/>
      <w:lvlJc w:val="left"/>
      <w:pPr>
        <w:ind w:left="6480" w:hanging="360"/>
      </w:pPr>
      <w:rPr>
        <w:b/>
        <w:color w:val="B0460A"/>
      </w:rPr>
    </w:lvl>
  </w:abstractNum>
  <w:abstractNum w:abstractNumId="13">
    <w:multiLevelType w:val="hybridMultilevel"/>
    <w:lvl w:ilvl="0">
      <w:start w:val="1"/>
      <w:numFmt w:val="decimal"/>
      <w:lvlText w:val="%1."/>
      <w:lvlJc w:val="left"/>
      <w:pPr>
        <w:ind w:left="720" w:hanging="360"/>
      </w:pPr>
      <w:rPr>
        <w:b/>
        <w:color w:val="B0460A"/>
      </w:rPr>
    </w:lvl>
    <w:lvl w:ilvl="1">
      <w:start w:val="1"/>
      <w:numFmt w:val="decimal"/>
      <w:lvlText w:val="%2."/>
      <w:lvlJc w:val="left"/>
      <w:pPr>
        <w:ind w:left="1440" w:hanging="360"/>
      </w:pPr>
      <w:rPr>
        <w:b/>
        <w:color w:val="B0460A"/>
      </w:rPr>
    </w:lvl>
    <w:lvl w:ilvl="2">
      <w:start w:val="1"/>
      <w:numFmt w:val="decimal"/>
      <w:lvlText w:val="%3."/>
      <w:lvlJc w:val="left"/>
      <w:pPr>
        <w:ind w:left="2160" w:hanging="360"/>
      </w:pPr>
      <w:rPr>
        <w:b/>
        <w:color w:val="B0460A"/>
      </w:rPr>
    </w:lvl>
    <w:lvl w:ilvl="3">
      <w:start w:val="1"/>
      <w:numFmt w:val="decimal"/>
      <w:lvlText w:val="%4."/>
      <w:lvlJc w:val="left"/>
      <w:pPr>
        <w:ind w:left="2880" w:hanging="360"/>
      </w:pPr>
      <w:rPr>
        <w:b/>
        <w:color w:val="B0460A"/>
      </w:rPr>
    </w:lvl>
    <w:lvl w:ilvl="4">
      <w:start w:val="1"/>
      <w:numFmt w:val="decimal"/>
      <w:lvlText w:val="%5."/>
      <w:lvlJc w:val="left"/>
      <w:pPr>
        <w:ind w:left="3600" w:hanging="360"/>
      </w:pPr>
      <w:rPr>
        <w:b/>
        <w:color w:val="B0460A"/>
      </w:rPr>
    </w:lvl>
    <w:lvl w:ilvl="5">
      <w:start w:val="1"/>
      <w:numFmt w:val="decimal"/>
      <w:lvlText w:val="%6."/>
      <w:lvlJc w:val="left"/>
      <w:pPr>
        <w:ind w:left="4320" w:hanging="360"/>
      </w:pPr>
      <w:rPr>
        <w:b/>
        <w:color w:val="B0460A"/>
      </w:rPr>
    </w:lvl>
    <w:lvl w:ilvl="6">
      <w:start w:val="1"/>
      <w:numFmt w:val="decimal"/>
      <w:lvlText w:val="%7."/>
      <w:lvlJc w:val="left"/>
      <w:pPr>
        <w:ind w:left="5040" w:hanging="360"/>
      </w:pPr>
      <w:rPr>
        <w:b/>
        <w:color w:val="B0460A"/>
      </w:rPr>
    </w:lvl>
    <w:lvl w:ilvl="7">
      <w:start w:val="1"/>
      <w:numFmt w:val="decimal"/>
      <w:lvlText w:val="%8."/>
      <w:lvlJc w:val="left"/>
      <w:pPr>
        <w:ind w:left="5760" w:hanging="360"/>
      </w:pPr>
      <w:rPr>
        <w:b/>
        <w:color w:val="B0460A"/>
      </w:rPr>
    </w:lvl>
    <w:lvl w:ilvl="8">
      <w:start w:val="1"/>
      <w:numFmt w:val="decimal"/>
      <w:lvlText w:val="%9."/>
      <w:lvlJc w:val="left"/>
      <w:pPr>
        <w:ind w:left="6480" w:hanging="360"/>
      </w:pPr>
      <w:rPr>
        <w:b/>
        <w:color w:val="B0460A"/>
      </w:rPr>
    </w:lvl>
  </w:abstractNum>
  <w:abstractNum w:abstractNumId="14">
    <w:multiLevelType w:val="hybridMultilevel"/>
    <w:lvl w:ilvl="0">
      <w:start w:val="1"/>
      <w:numFmt w:val="decimal"/>
      <w:lvlText w:val="%1."/>
      <w:lvlJc w:val="left"/>
      <w:pPr>
        <w:ind w:left="720" w:hanging="360"/>
      </w:pPr>
      <w:rPr>
        <w:b/>
        <w:color w:val="B0460A"/>
      </w:rPr>
    </w:lvl>
    <w:lvl w:ilvl="1">
      <w:start w:val="1"/>
      <w:numFmt w:val="decimal"/>
      <w:lvlText w:val="%2."/>
      <w:lvlJc w:val="left"/>
      <w:pPr>
        <w:ind w:left="1440" w:hanging="360"/>
      </w:pPr>
      <w:rPr>
        <w:b/>
        <w:color w:val="B0460A"/>
      </w:rPr>
    </w:lvl>
    <w:lvl w:ilvl="2">
      <w:start w:val="1"/>
      <w:numFmt w:val="decimal"/>
      <w:lvlText w:val="%3."/>
      <w:lvlJc w:val="left"/>
      <w:pPr>
        <w:ind w:left="2160" w:hanging="360"/>
      </w:pPr>
      <w:rPr>
        <w:b/>
        <w:color w:val="B0460A"/>
      </w:rPr>
    </w:lvl>
    <w:lvl w:ilvl="3">
      <w:start w:val="1"/>
      <w:numFmt w:val="decimal"/>
      <w:lvlText w:val="%4."/>
      <w:lvlJc w:val="left"/>
      <w:pPr>
        <w:ind w:left="2880" w:hanging="360"/>
      </w:pPr>
      <w:rPr>
        <w:b/>
        <w:color w:val="B0460A"/>
      </w:rPr>
    </w:lvl>
    <w:lvl w:ilvl="4">
      <w:start w:val="1"/>
      <w:numFmt w:val="decimal"/>
      <w:lvlText w:val="%5."/>
      <w:lvlJc w:val="left"/>
      <w:pPr>
        <w:ind w:left="3600" w:hanging="360"/>
      </w:pPr>
      <w:rPr>
        <w:b/>
        <w:color w:val="B0460A"/>
      </w:rPr>
    </w:lvl>
    <w:lvl w:ilvl="5">
      <w:start w:val="1"/>
      <w:numFmt w:val="decimal"/>
      <w:lvlText w:val="%6."/>
      <w:lvlJc w:val="left"/>
      <w:pPr>
        <w:ind w:left="4320" w:hanging="360"/>
      </w:pPr>
      <w:rPr>
        <w:b/>
        <w:color w:val="B0460A"/>
      </w:rPr>
    </w:lvl>
    <w:lvl w:ilvl="6">
      <w:start w:val="1"/>
      <w:numFmt w:val="decimal"/>
      <w:lvlText w:val="%7."/>
      <w:lvlJc w:val="left"/>
      <w:pPr>
        <w:ind w:left="5040" w:hanging="360"/>
      </w:pPr>
      <w:rPr>
        <w:b/>
        <w:color w:val="B0460A"/>
      </w:rPr>
    </w:lvl>
    <w:lvl w:ilvl="7">
      <w:start w:val="1"/>
      <w:numFmt w:val="decimal"/>
      <w:lvlText w:val="%8."/>
      <w:lvlJc w:val="left"/>
      <w:pPr>
        <w:ind w:left="5760" w:hanging="360"/>
      </w:pPr>
      <w:rPr>
        <w:b/>
        <w:color w:val="B0460A"/>
      </w:rPr>
    </w:lvl>
    <w:lvl w:ilvl="8">
      <w:start w:val="1"/>
      <w:numFmt w:val="decimal"/>
      <w:lvlText w:val="%9."/>
      <w:lvlJc w:val="left"/>
      <w:pPr>
        <w:ind w:left="6480" w:hanging="360"/>
      </w:pPr>
      <w:rPr>
        <w:b/>
        <w:color w:val="B0460A"/>
      </w:rPr>
    </w:lvl>
  </w:abstractNum>
  <w:abstractNum w:abstractNumId="15">
    <w:multiLevelType w:val="hybridMultilevel"/>
    <w:lvl w:ilvl="0">
      <w:start w:val="1"/>
      <w:numFmt w:val="decimal"/>
      <w:lvlText w:val="%1."/>
      <w:lvlJc w:val="left"/>
      <w:pPr>
        <w:ind w:left="720" w:hanging="360"/>
      </w:pPr>
      <w:rPr>
        <w:b/>
        <w:color w:val="B0460A"/>
      </w:rPr>
    </w:lvl>
    <w:lvl w:ilvl="1">
      <w:start w:val="1"/>
      <w:numFmt w:val="decimal"/>
      <w:lvlText w:val="%2."/>
      <w:lvlJc w:val="left"/>
      <w:pPr>
        <w:ind w:left="1440" w:hanging="360"/>
      </w:pPr>
      <w:rPr>
        <w:b/>
        <w:color w:val="B0460A"/>
      </w:rPr>
    </w:lvl>
    <w:lvl w:ilvl="2">
      <w:start w:val="1"/>
      <w:numFmt w:val="decimal"/>
      <w:lvlText w:val="%3."/>
      <w:lvlJc w:val="left"/>
      <w:pPr>
        <w:ind w:left="2160" w:hanging="360"/>
      </w:pPr>
      <w:rPr>
        <w:b/>
        <w:color w:val="B0460A"/>
      </w:rPr>
    </w:lvl>
    <w:lvl w:ilvl="3">
      <w:start w:val="1"/>
      <w:numFmt w:val="decimal"/>
      <w:lvlText w:val="%4."/>
      <w:lvlJc w:val="left"/>
      <w:pPr>
        <w:ind w:left="2880" w:hanging="360"/>
      </w:pPr>
      <w:rPr>
        <w:b/>
        <w:color w:val="B0460A"/>
      </w:rPr>
    </w:lvl>
    <w:lvl w:ilvl="4">
      <w:start w:val="1"/>
      <w:numFmt w:val="decimal"/>
      <w:lvlText w:val="%5."/>
      <w:lvlJc w:val="left"/>
      <w:pPr>
        <w:ind w:left="3600" w:hanging="360"/>
      </w:pPr>
      <w:rPr>
        <w:b/>
        <w:color w:val="B0460A"/>
      </w:rPr>
    </w:lvl>
    <w:lvl w:ilvl="5">
      <w:start w:val="1"/>
      <w:numFmt w:val="decimal"/>
      <w:lvlText w:val="%6."/>
      <w:lvlJc w:val="left"/>
      <w:pPr>
        <w:ind w:left="4320" w:hanging="360"/>
      </w:pPr>
      <w:rPr>
        <w:b/>
        <w:color w:val="B0460A"/>
      </w:rPr>
    </w:lvl>
    <w:lvl w:ilvl="6">
      <w:start w:val="1"/>
      <w:numFmt w:val="decimal"/>
      <w:lvlText w:val="%7."/>
      <w:lvlJc w:val="left"/>
      <w:pPr>
        <w:ind w:left="5040" w:hanging="360"/>
      </w:pPr>
      <w:rPr>
        <w:b/>
        <w:color w:val="B0460A"/>
      </w:rPr>
    </w:lvl>
    <w:lvl w:ilvl="7">
      <w:start w:val="1"/>
      <w:numFmt w:val="decimal"/>
      <w:lvlText w:val="%8."/>
      <w:lvlJc w:val="left"/>
      <w:pPr>
        <w:ind w:left="5760" w:hanging="360"/>
      </w:pPr>
      <w:rPr>
        <w:b/>
        <w:color w:val="B0460A"/>
      </w:rPr>
    </w:lvl>
    <w:lvl w:ilvl="8">
      <w:start w:val="1"/>
      <w:numFmt w:val="decimal"/>
      <w:lvlText w:val="%9."/>
      <w:lvlJc w:val="left"/>
      <w:pPr>
        <w:ind w:left="6480" w:hanging="360"/>
      </w:pPr>
      <w:rPr>
        <w:b/>
        <w:color w:val="B0460A"/>
      </w:rPr>
    </w:lvl>
  </w:abstractNum>
  <w:abstractNum w:abstractNumId="16">
    <w:multiLevelType w:val="hybridMultilevel"/>
    <w:lvl w:ilvl="0">
      <w:start w:val="1"/>
      <w:numFmt w:val="decimal"/>
      <w:lvlText w:val="%1."/>
      <w:lvlJc w:val="left"/>
      <w:pPr>
        <w:ind w:left="720" w:hanging="360"/>
      </w:pPr>
      <w:rPr>
        <w:b/>
        <w:color w:val="B0460A"/>
      </w:rPr>
    </w:lvl>
    <w:lvl w:ilvl="1">
      <w:start w:val="1"/>
      <w:numFmt w:val="decimal"/>
      <w:lvlText w:val="%2."/>
      <w:lvlJc w:val="left"/>
      <w:pPr>
        <w:ind w:left="1440" w:hanging="360"/>
      </w:pPr>
      <w:rPr>
        <w:b/>
        <w:color w:val="B0460A"/>
      </w:rPr>
    </w:lvl>
    <w:lvl w:ilvl="2">
      <w:start w:val="1"/>
      <w:numFmt w:val="decimal"/>
      <w:lvlText w:val="%3."/>
      <w:lvlJc w:val="left"/>
      <w:pPr>
        <w:ind w:left="2160" w:hanging="360"/>
      </w:pPr>
      <w:rPr>
        <w:b/>
        <w:color w:val="B0460A"/>
      </w:rPr>
    </w:lvl>
    <w:lvl w:ilvl="3">
      <w:start w:val="1"/>
      <w:numFmt w:val="decimal"/>
      <w:lvlText w:val="%4."/>
      <w:lvlJc w:val="left"/>
      <w:pPr>
        <w:ind w:left="2880" w:hanging="360"/>
      </w:pPr>
      <w:rPr>
        <w:b/>
        <w:color w:val="B0460A"/>
      </w:rPr>
    </w:lvl>
    <w:lvl w:ilvl="4">
      <w:start w:val="1"/>
      <w:numFmt w:val="decimal"/>
      <w:lvlText w:val="%5."/>
      <w:lvlJc w:val="left"/>
      <w:pPr>
        <w:ind w:left="3600" w:hanging="360"/>
      </w:pPr>
      <w:rPr>
        <w:b/>
        <w:color w:val="B0460A"/>
      </w:rPr>
    </w:lvl>
    <w:lvl w:ilvl="5">
      <w:start w:val="1"/>
      <w:numFmt w:val="decimal"/>
      <w:lvlText w:val="%6."/>
      <w:lvlJc w:val="left"/>
      <w:pPr>
        <w:ind w:left="4320" w:hanging="360"/>
      </w:pPr>
      <w:rPr>
        <w:b/>
        <w:color w:val="B0460A"/>
      </w:rPr>
    </w:lvl>
    <w:lvl w:ilvl="6">
      <w:start w:val="1"/>
      <w:numFmt w:val="decimal"/>
      <w:lvlText w:val="%7."/>
      <w:lvlJc w:val="left"/>
      <w:pPr>
        <w:ind w:left="5040" w:hanging="360"/>
      </w:pPr>
      <w:rPr>
        <w:b/>
        <w:color w:val="B0460A"/>
      </w:rPr>
    </w:lvl>
    <w:lvl w:ilvl="7">
      <w:start w:val="1"/>
      <w:numFmt w:val="decimal"/>
      <w:lvlText w:val="%8."/>
      <w:lvlJc w:val="left"/>
      <w:pPr>
        <w:ind w:left="5760" w:hanging="360"/>
      </w:pPr>
      <w:rPr>
        <w:b/>
        <w:color w:val="B0460A"/>
      </w:rPr>
    </w:lvl>
    <w:lvl w:ilvl="8">
      <w:start w:val="1"/>
      <w:numFmt w:val="decimal"/>
      <w:lvlText w:val="%9."/>
      <w:lvlJc w:val="left"/>
      <w:pPr>
        <w:ind w:left="6480" w:hanging="360"/>
      </w:pPr>
      <w:rPr>
        <w:b/>
        <w:color w:val="B0460A"/>
      </w:rPr>
    </w:lvl>
  </w:abstractNum>
  <w:abstractNum w:abstractNumId="17">
    <w:multiLevelType w:val="hybridMultilevel"/>
    <w:lvl w:ilvl="0">
      <w:start w:val="1"/>
      <w:numFmt w:val="decimal"/>
      <w:lvlText w:val="%1."/>
      <w:lvlJc w:val="left"/>
      <w:pPr>
        <w:ind w:left="720" w:hanging="360"/>
      </w:pPr>
      <w:rPr>
        <w:b/>
        <w:color w:val="B0460A"/>
      </w:rPr>
    </w:lvl>
    <w:lvl w:ilvl="1">
      <w:start w:val="1"/>
      <w:numFmt w:val="decimal"/>
      <w:lvlText w:val="%2."/>
      <w:lvlJc w:val="left"/>
      <w:pPr>
        <w:ind w:left="1440" w:hanging="360"/>
      </w:pPr>
      <w:rPr>
        <w:b/>
        <w:color w:val="B0460A"/>
      </w:rPr>
    </w:lvl>
    <w:lvl w:ilvl="2">
      <w:start w:val="1"/>
      <w:numFmt w:val="decimal"/>
      <w:lvlText w:val="%3."/>
      <w:lvlJc w:val="left"/>
      <w:pPr>
        <w:ind w:left="2160" w:hanging="360"/>
      </w:pPr>
      <w:rPr>
        <w:b/>
        <w:color w:val="B0460A"/>
      </w:rPr>
    </w:lvl>
    <w:lvl w:ilvl="3">
      <w:start w:val="1"/>
      <w:numFmt w:val="decimal"/>
      <w:lvlText w:val="%4."/>
      <w:lvlJc w:val="left"/>
      <w:pPr>
        <w:ind w:left="2880" w:hanging="360"/>
      </w:pPr>
      <w:rPr>
        <w:b/>
        <w:color w:val="B0460A"/>
      </w:rPr>
    </w:lvl>
    <w:lvl w:ilvl="4">
      <w:start w:val="1"/>
      <w:numFmt w:val="decimal"/>
      <w:lvlText w:val="%5."/>
      <w:lvlJc w:val="left"/>
      <w:pPr>
        <w:ind w:left="3600" w:hanging="360"/>
      </w:pPr>
      <w:rPr>
        <w:b/>
        <w:color w:val="B0460A"/>
      </w:rPr>
    </w:lvl>
    <w:lvl w:ilvl="5">
      <w:start w:val="1"/>
      <w:numFmt w:val="decimal"/>
      <w:lvlText w:val="%6."/>
      <w:lvlJc w:val="left"/>
      <w:pPr>
        <w:ind w:left="4320" w:hanging="360"/>
      </w:pPr>
      <w:rPr>
        <w:b/>
        <w:color w:val="B0460A"/>
      </w:rPr>
    </w:lvl>
    <w:lvl w:ilvl="6">
      <w:start w:val="1"/>
      <w:numFmt w:val="decimal"/>
      <w:lvlText w:val="%7."/>
      <w:lvlJc w:val="left"/>
      <w:pPr>
        <w:ind w:left="5040" w:hanging="360"/>
      </w:pPr>
      <w:rPr>
        <w:b/>
        <w:color w:val="B0460A"/>
      </w:rPr>
    </w:lvl>
    <w:lvl w:ilvl="7">
      <w:start w:val="1"/>
      <w:numFmt w:val="decimal"/>
      <w:lvlText w:val="%8."/>
      <w:lvlJc w:val="left"/>
      <w:pPr>
        <w:ind w:left="5760" w:hanging="360"/>
      </w:pPr>
      <w:rPr>
        <w:b/>
        <w:color w:val="B0460A"/>
      </w:rPr>
    </w:lvl>
    <w:lvl w:ilvl="8">
      <w:start w:val="1"/>
      <w:numFmt w:val="decimal"/>
      <w:lvlText w:val="%9."/>
      <w:lvlJc w:val="left"/>
      <w:pPr>
        <w:ind w:left="6480" w:hanging="360"/>
      </w:pPr>
      <w:rPr>
        <w:b/>
        <w:color w:val="B0460A"/>
      </w:rPr>
    </w:lvl>
  </w:abstractNum>
  <w:abstractNum w:abstractNumId="18">
    <w:multiLevelType w:val="hybridMultilevel"/>
    <w:lvl w:ilvl="0">
      <w:start w:val="1"/>
      <w:numFmt w:val="decimal"/>
      <w:lvlText w:val="%1."/>
      <w:lvlJc w:val="left"/>
      <w:pPr>
        <w:ind w:left="720" w:hanging="360"/>
      </w:pPr>
      <w:rPr>
        <w:b/>
        <w:color w:val="B0460A"/>
      </w:rPr>
    </w:lvl>
    <w:lvl w:ilvl="1">
      <w:start w:val="1"/>
      <w:numFmt w:val="decimal"/>
      <w:lvlText w:val="%2."/>
      <w:lvlJc w:val="left"/>
      <w:pPr>
        <w:ind w:left="1440" w:hanging="360"/>
      </w:pPr>
      <w:rPr>
        <w:b/>
        <w:color w:val="B0460A"/>
      </w:rPr>
    </w:lvl>
    <w:lvl w:ilvl="2">
      <w:start w:val="1"/>
      <w:numFmt w:val="decimal"/>
      <w:lvlText w:val="%3."/>
      <w:lvlJc w:val="left"/>
      <w:pPr>
        <w:ind w:left="2160" w:hanging="360"/>
      </w:pPr>
      <w:rPr>
        <w:b/>
        <w:color w:val="B0460A"/>
      </w:rPr>
    </w:lvl>
    <w:lvl w:ilvl="3">
      <w:start w:val="1"/>
      <w:numFmt w:val="decimal"/>
      <w:lvlText w:val="%4."/>
      <w:lvlJc w:val="left"/>
      <w:pPr>
        <w:ind w:left="2880" w:hanging="360"/>
      </w:pPr>
      <w:rPr>
        <w:b/>
        <w:color w:val="B0460A"/>
      </w:rPr>
    </w:lvl>
    <w:lvl w:ilvl="4">
      <w:start w:val="1"/>
      <w:numFmt w:val="decimal"/>
      <w:lvlText w:val="%5."/>
      <w:lvlJc w:val="left"/>
      <w:pPr>
        <w:ind w:left="3600" w:hanging="360"/>
      </w:pPr>
      <w:rPr>
        <w:b/>
        <w:color w:val="B0460A"/>
      </w:rPr>
    </w:lvl>
    <w:lvl w:ilvl="5">
      <w:start w:val="1"/>
      <w:numFmt w:val="decimal"/>
      <w:lvlText w:val="%6."/>
      <w:lvlJc w:val="left"/>
      <w:pPr>
        <w:ind w:left="4320" w:hanging="360"/>
      </w:pPr>
      <w:rPr>
        <w:b/>
        <w:color w:val="B0460A"/>
      </w:rPr>
    </w:lvl>
    <w:lvl w:ilvl="6">
      <w:start w:val="1"/>
      <w:numFmt w:val="decimal"/>
      <w:lvlText w:val="%7."/>
      <w:lvlJc w:val="left"/>
      <w:pPr>
        <w:ind w:left="5040" w:hanging="360"/>
      </w:pPr>
      <w:rPr>
        <w:b/>
        <w:color w:val="B0460A"/>
      </w:rPr>
    </w:lvl>
    <w:lvl w:ilvl="7">
      <w:start w:val="1"/>
      <w:numFmt w:val="decimal"/>
      <w:lvlText w:val="%8."/>
      <w:lvlJc w:val="left"/>
      <w:pPr>
        <w:ind w:left="5760" w:hanging="360"/>
      </w:pPr>
      <w:rPr>
        <w:b/>
        <w:color w:val="B0460A"/>
      </w:rPr>
    </w:lvl>
    <w:lvl w:ilvl="8">
      <w:start w:val="1"/>
      <w:numFmt w:val="decimal"/>
      <w:lvlText w:val="%9."/>
      <w:lvlJc w:val="left"/>
      <w:pPr>
        <w:ind w:left="6480" w:hanging="360"/>
      </w:pPr>
      <w:rPr>
        <w:b/>
        <w:color w:val="B0460A"/>
      </w:rPr>
    </w:lvl>
  </w:abstractNum>
  <w:abstractNum w:abstractNumId="19">
    <w:multiLevelType w:val="hybridMultilevel"/>
    <w:lvl w:ilvl="0">
      <w:start w:val="1"/>
      <w:numFmt w:val="decimal"/>
      <w:lvlText w:val="%1."/>
      <w:lvlJc w:val="left"/>
      <w:pPr>
        <w:ind w:left="720" w:hanging="360"/>
      </w:pPr>
      <w:rPr>
        <w:b/>
        <w:color w:val="B0460A"/>
      </w:rPr>
    </w:lvl>
    <w:lvl w:ilvl="1">
      <w:start w:val="1"/>
      <w:numFmt w:val="decimal"/>
      <w:lvlText w:val="%2."/>
      <w:lvlJc w:val="left"/>
      <w:pPr>
        <w:ind w:left="1440" w:hanging="360"/>
      </w:pPr>
      <w:rPr>
        <w:b/>
        <w:color w:val="B0460A"/>
      </w:rPr>
    </w:lvl>
    <w:lvl w:ilvl="2">
      <w:start w:val="1"/>
      <w:numFmt w:val="decimal"/>
      <w:lvlText w:val="%3."/>
      <w:lvlJc w:val="left"/>
      <w:pPr>
        <w:ind w:left="2160" w:hanging="360"/>
      </w:pPr>
      <w:rPr>
        <w:b/>
        <w:color w:val="B0460A"/>
      </w:rPr>
    </w:lvl>
    <w:lvl w:ilvl="3">
      <w:start w:val="1"/>
      <w:numFmt w:val="decimal"/>
      <w:lvlText w:val="%4."/>
      <w:lvlJc w:val="left"/>
      <w:pPr>
        <w:ind w:left="2880" w:hanging="360"/>
      </w:pPr>
      <w:rPr>
        <w:b/>
        <w:color w:val="B0460A"/>
      </w:rPr>
    </w:lvl>
    <w:lvl w:ilvl="4">
      <w:start w:val="1"/>
      <w:numFmt w:val="decimal"/>
      <w:lvlText w:val="%5."/>
      <w:lvlJc w:val="left"/>
      <w:pPr>
        <w:ind w:left="3600" w:hanging="360"/>
      </w:pPr>
      <w:rPr>
        <w:b/>
        <w:color w:val="B0460A"/>
      </w:rPr>
    </w:lvl>
    <w:lvl w:ilvl="5">
      <w:start w:val="1"/>
      <w:numFmt w:val="decimal"/>
      <w:lvlText w:val="%6."/>
      <w:lvlJc w:val="left"/>
      <w:pPr>
        <w:ind w:left="4320" w:hanging="360"/>
      </w:pPr>
      <w:rPr>
        <w:b/>
        <w:color w:val="B0460A"/>
      </w:rPr>
    </w:lvl>
    <w:lvl w:ilvl="6">
      <w:start w:val="1"/>
      <w:numFmt w:val="decimal"/>
      <w:lvlText w:val="%7."/>
      <w:lvlJc w:val="left"/>
      <w:pPr>
        <w:ind w:left="5040" w:hanging="360"/>
      </w:pPr>
      <w:rPr>
        <w:b/>
        <w:color w:val="B0460A"/>
      </w:rPr>
    </w:lvl>
    <w:lvl w:ilvl="7">
      <w:start w:val="1"/>
      <w:numFmt w:val="decimal"/>
      <w:lvlText w:val="%8."/>
      <w:lvlJc w:val="left"/>
      <w:pPr>
        <w:ind w:left="5760" w:hanging="360"/>
      </w:pPr>
      <w:rPr>
        <w:b/>
        <w:color w:val="B0460A"/>
      </w:rPr>
    </w:lvl>
    <w:lvl w:ilvl="8">
      <w:start w:val="1"/>
      <w:numFmt w:val="decimal"/>
      <w:lvlText w:val="%9."/>
      <w:lvlJc w:val="left"/>
      <w:pPr>
        <w:ind w:left="6480" w:hanging="360"/>
      </w:pPr>
      <w:rPr>
        <w:b/>
        <w:color w:val="B0460A"/>
      </w:rPr>
    </w:lvl>
  </w:abstractNum>
  <w:abstractNum w:abstractNumId="20">
    <w:multiLevelType w:val="hybridMultilevel"/>
    <w:lvl w:ilvl="0">
      <w:start w:val="1"/>
      <w:numFmt w:val="decimal"/>
      <w:lvlText w:val="%1."/>
      <w:lvlJc w:val="left"/>
      <w:pPr>
        <w:ind w:left="720" w:hanging="360"/>
      </w:pPr>
      <w:rPr>
        <w:b/>
        <w:color w:val="B0460A"/>
      </w:rPr>
    </w:lvl>
    <w:lvl w:ilvl="1">
      <w:start w:val="1"/>
      <w:numFmt w:val="decimal"/>
      <w:lvlText w:val="%2."/>
      <w:lvlJc w:val="left"/>
      <w:pPr>
        <w:ind w:left="1440" w:hanging="360"/>
      </w:pPr>
      <w:rPr>
        <w:b/>
        <w:color w:val="B0460A"/>
      </w:rPr>
    </w:lvl>
    <w:lvl w:ilvl="2">
      <w:start w:val="1"/>
      <w:numFmt w:val="decimal"/>
      <w:lvlText w:val="%3."/>
      <w:lvlJc w:val="left"/>
      <w:pPr>
        <w:ind w:left="2160" w:hanging="360"/>
      </w:pPr>
      <w:rPr>
        <w:b/>
        <w:color w:val="B0460A"/>
      </w:rPr>
    </w:lvl>
    <w:lvl w:ilvl="3">
      <w:start w:val="1"/>
      <w:numFmt w:val="decimal"/>
      <w:lvlText w:val="%4."/>
      <w:lvlJc w:val="left"/>
      <w:pPr>
        <w:ind w:left="2880" w:hanging="360"/>
      </w:pPr>
      <w:rPr>
        <w:b/>
        <w:color w:val="B0460A"/>
      </w:rPr>
    </w:lvl>
    <w:lvl w:ilvl="4">
      <w:start w:val="1"/>
      <w:numFmt w:val="decimal"/>
      <w:lvlText w:val="%5."/>
      <w:lvlJc w:val="left"/>
      <w:pPr>
        <w:ind w:left="3600" w:hanging="360"/>
      </w:pPr>
      <w:rPr>
        <w:b/>
        <w:color w:val="B0460A"/>
      </w:rPr>
    </w:lvl>
    <w:lvl w:ilvl="5">
      <w:start w:val="1"/>
      <w:numFmt w:val="decimal"/>
      <w:lvlText w:val="%6."/>
      <w:lvlJc w:val="left"/>
      <w:pPr>
        <w:ind w:left="4320" w:hanging="360"/>
      </w:pPr>
      <w:rPr>
        <w:b/>
        <w:color w:val="B0460A"/>
      </w:rPr>
    </w:lvl>
    <w:lvl w:ilvl="6">
      <w:start w:val="1"/>
      <w:numFmt w:val="decimal"/>
      <w:lvlText w:val="%7."/>
      <w:lvlJc w:val="left"/>
      <w:pPr>
        <w:ind w:left="5040" w:hanging="360"/>
      </w:pPr>
      <w:rPr>
        <w:b/>
        <w:color w:val="B0460A"/>
      </w:rPr>
    </w:lvl>
    <w:lvl w:ilvl="7">
      <w:start w:val="1"/>
      <w:numFmt w:val="decimal"/>
      <w:lvlText w:val="%8."/>
      <w:lvlJc w:val="left"/>
      <w:pPr>
        <w:ind w:left="5760" w:hanging="360"/>
      </w:pPr>
      <w:rPr>
        <w:b/>
        <w:color w:val="B0460A"/>
      </w:rPr>
    </w:lvl>
    <w:lvl w:ilvl="8">
      <w:start w:val="1"/>
      <w:numFmt w:val="decimal"/>
      <w:lvlText w:val="%9."/>
      <w:lvlJc w:val="left"/>
      <w:pPr>
        <w:ind w:left="6480" w:hanging="360"/>
      </w:pPr>
      <w:rPr>
        <w:b/>
        <w:color w:val="B0460A"/>
      </w:rPr>
    </w:lvl>
  </w:abstractNum>
  <w:abstractNum w:abstractNumId="21">
    <w:multiLevelType w:val="hybridMultilevel"/>
    <w:lvl w:ilvl="0">
      <w:start w:val="1"/>
      <w:numFmt w:val="bullet"/>
      <w:lvlText w:val="•"/>
      <w:lvlJc w:val="left"/>
      <w:pPr>
        <w:ind w:left="720" w:hanging="360"/>
      </w:pPr>
      <w:rPr>
        <w:color w:val="B0460A"/>
      </w:rPr>
    </w:lvl>
    <w:lvl w:ilvl="1">
      <w:start w:val="1"/>
      <w:numFmt w:val="bullet"/>
      <w:lvlText w:val="◦"/>
      <w:lvlJc w:val="left"/>
      <w:pPr>
        <w:ind w:left="1440" w:hanging="360"/>
      </w:pPr>
      <w:rPr>
        <w:color w:val="56606E"/>
      </w:rPr>
    </w:lvl>
    <w:lvl w:ilvl="2">
      <w:start w:val="1"/>
      <w:numFmt w:val="bullet"/>
      <w:lvlText w:val="▪"/>
      <w:lvlJc w:val="left"/>
      <w:pPr>
        <w:ind w:left="2160" w:hanging="360"/>
      </w:pPr>
      <w:rPr>
        <w:color w:val="56606E"/>
      </w:rPr>
    </w:lvl>
    <w:lvl w:ilvl="3">
      <w:start w:val="1"/>
      <w:numFmt w:val="bullet"/>
      <w:lvlText w:val="•"/>
      <w:lvlJc w:val="left"/>
      <w:pPr>
        <w:ind w:left="2880" w:hanging="360"/>
      </w:pPr>
      <w:rPr>
        <w:color w:val="56606E"/>
      </w:rPr>
    </w:lvl>
    <w:lvl w:ilvl="4">
      <w:start w:val="1"/>
      <w:numFmt w:val="bullet"/>
      <w:lvlText w:val="◦"/>
      <w:lvlJc w:val="left"/>
      <w:pPr>
        <w:ind w:left="3600" w:hanging="360"/>
      </w:pPr>
      <w:rPr>
        <w:color w:val="56606E"/>
      </w:rPr>
    </w:lvl>
    <w:lvl w:ilvl="5">
      <w:start w:val="1"/>
      <w:numFmt w:val="bullet"/>
      <w:lvlText w:val="▪"/>
      <w:lvlJc w:val="left"/>
      <w:pPr>
        <w:ind w:left="4320" w:hanging="360"/>
      </w:pPr>
      <w:rPr>
        <w:color w:val="56606E"/>
      </w:rPr>
    </w:lvl>
    <w:lvl w:ilvl="6">
      <w:start w:val="1"/>
      <w:numFmt w:val="bullet"/>
      <w:lvlText w:val="•"/>
      <w:lvlJc w:val="left"/>
      <w:pPr>
        <w:ind w:left="5040" w:hanging="360"/>
      </w:pPr>
      <w:rPr>
        <w:color w:val="56606E"/>
      </w:rPr>
    </w:lvl>
    <w:lvl w:ilvl="7">
      <w:start w:val="1"/>
      <w:numFmt w:val="bullet"/>
      <w:lvlText w:val="◦"/>
      <w:lvlJc w:val="left"/>
      <w:pPr>
        <w:ind w:left="5760" w:hanging="360"/>
      </w:pPr>
      <w:rPr>
        <w:color w:val="56606E"/>
      </w:rPr>
    </w:lvl>
    <w:lvl w:ilvl="8">
      <w:start w:val="1"/>
      <w:numFmt w:val="bullet"/>
      <w:lvlText w:val="▪"/>
      <w:lvlJc w:val="left"/>
      <w:pPr>
        <w:ind w:left="6480" w:hanging="360"/>
      </w:pPr>
      <w:rPr>
        <w:color w:val="56606E"/>
      </w:rPr>
    </w:lvl>
  </w:abstractNum>
  <w:abstractNum w:abstractNumId="22">
    <w:multiLevelType w:val="hybridMultilevel"/>
    <w:lvl w:ilvl="0">
      <w:start w:val="1"/>
      <w:numFmt w:val="decimal"/>
      <w:lvlText w:val="%1."/>
      <w:lvlJc w:val="left"/>
      <w:pPr>
        <w:ind w:left="720" w:hanging="360"/>
      </w:pPr>
      <w:rPr>
        <w:b/>
        <w:color w:val="B0460A"/>
      </w:rPr>
    </w:lvl>
    <w:lvl w:ilvl="1">
      <w:start w:val="1"/>
      <w:numFmt w:val="decimal"/>
      <w:lvlText w:val="%2."/>
      <w:lvlJc w:val="left"/>
      <w:pPr>
        <w:ind w:left="1440" w:hanging="360"/>
      </w:pPr>
      <w:rPr>
        <w:b/>
        <w:color w:val="B0460A"/>
      </w:rPr>
    </w:lvl>
    <w:lvl w:ilvl="2">
      <w:start w:val="1"/>
      <w:numFmt w:val="decimal"/>
      <w:lvlText w:val="%3."/>
      <w:lvlJc w:val="left"/>
      <w:pPr>
        <w:ind w:left="2160" w:hanging="360"/>
      </w:pPr>
      <w:rPr>
        <w:b/>
        <w:color w:val="B0460A"/>
      </w:rPr>
    </w:lvl>
    <w:lvl w:ilvl="3">
      <w:start w:val="1"/>
      <w:numFmt w:val="decimal"/>
      <w:lvlText w:val="%4."/>
      <w:lvlJc w:val="left"/>
      <w:pPr>
        <w:ind w:left="2880" w:hanging="360"/>
      </w:pPr>
      <w:rPr>
        <w:b/>
        <w:color w:val="B0460A"/>
      </w:rPr>
    </w:lvl>
    <w:lvl w:ilvl="4">
      <w:start w:val="1"/>
      <w:numFmt w:val="decimal"/>
      <w:lvlText w:val="%5."/>
      <w:lvlJc w:val="left"/>
      <w:pPr>
        <w:ind w:left="3600" w:hanging="360"/>
      </w:pPr>
      <w:rPr>
        <w:b/>
        <w:color w:val="B0460A"/>
      </w:rPr>
    </w:lvl>
    <w:lvl w:ilvl="5">
      <w:start w:val="1"/>
      <w:numFmt w:val="decimal"/>
      <w:lvlText w:val="%6."/>
      <w:lvlJc w:val="left"/>
      <w:pPr>
        <w:ind w:left="4320" w:hanging="360"/>
      </w:pPr>
      <w:rPr>
        <w:b/>
        <w:color w:val="B0460A"/>
      </w:rPr>
    </w:lvl>
    <w:lvl w:ilvl="6">
      <w:start w:val="1"/>
      <w:numFmt w:val="decimal"/>
      <w:lvlText w:val="%7."/>
      <w:lvlJc w:val="left"/>
      <w:pPr>
        <w:ind w:left="5040" w:hanging="360"/>
      </w:pPr>
      <w:rPr>
        <w:b/>
        <w:color w:val="B0460A"/>
      </w:rPr>
    </w:lvl>
    <w:lvl w:ilvl="7">
      <w:start w:val="1"/>
      <w:numFmt w:val="decimal"/>
      <w:lvlText w:val="%8."/>
      <w:lvlJc w:val="left"/>
      <w:pPr>
        <w:ind w:left="5760" w:hanging="360"/>
      </w:pPr>
      <w:rPr>
        <w:b/>
        <w:color w:val="B0460A"/>
      </w:rPr>
    </w:lvl>
    <w:lvl w:ilvl="8">
      <w:start w:val="1"/>
      <w:numFmt w:val="decimal"/>
      <w:lvlText w:val="%9."/>
      <w:lvlJc w:val="left"/>
      <w:pPr>
        <w:ind w:left="6480" w:hanging="360"/>
      </w:pPr>
      <w:rPr>
        <w:b/>
        <w:color w:val="B0460A"/>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1">
      <w:startOverride w:val="1"/>
    </w:lvlOverride>
  </w:num>
  <w:num w:numId="6">
    <w:abstractNumId w:val="6"/>
    <w:lvlOverride w:ilvl="1">
      <w:startOverride w:val="1"/>
    </w:lvlOverride>
  </w:num>
  <w:num w:numId="7">
    <w:abstractNumId w:val="7"/>
    <w:lvlOverride w:ilvl="1">
      <w:startOverride w:val="1"/>
    </w:lvlOverride>
  </w:num>
  <w:num w:numId="8">
    <w:abstractNumId w:val="8"/>
    <w:lvlOverride w:ilvl="1">
      <w:startOverride w:val="1"/>
    </w:lvlOverride>
  </w:num>
  <w:num w:numId="9">
    <w:abstractNumId w:val="9"/>
    <w:lvlOverride w:ilvl="0">
      <w:startOverride w:val="1"/>
    </w:lvlOverride>
  </w:num>
  <w:num w:numId="10">
    <w:abstractNumId w:val="10"/>
    <w:lvlOverride w:ilvl="1">
      <w:startOverride w:val="1"/>
    </w:lvlOverride>
  </w:num>
  <w:num w:numId="11">
    <w:abstractNumId w:val="11"/>
    <w:lvlOverride w:ilvl="1">
      <w:startOverride w:val="1"/>
    </w:lvlOverride>
  </w:num>
  <w:num w:numId="12">
    <w:abstractNumId w:val="12"/>
    <w:lvlOverride w:ilvl="1">
      <w:startOverride w:val="1"/>
    </w:lvlOverride>
  </w:num>
  <w:num w:numId="13">
    <w:abstractNumId w:val="13"/>
    <w:lvlOverride w:ilvl="0">
      <w:startOverride w:val="1"/>
    </w:lvlOverride>
  </w:num>
  <w:num w:numId="14">
    <w:abstractNumId w:val="14"/>
    <w:lvlOverride w:ilvl="1">
      <w:startOverride w:val="1"/>
    </w:lvlOverride>
  </w:num>
  <w:num w:numId="15">
    <w:abstractNumId w:val="15"/>
    <w:lvlOverride w:ilvl="1">
      <w:startOverride w:val="1"/>
    </w:lvlOverride>
  </w:num>
  <w:num w:numId="16">
    <w:abstractNumId w:val="16"/>
    <w:lvlOverride w:ilvl="1">
      <w:startOverride w:val="1"/>
    </w:lvlOverride>
  </w:num>
  <w:num w:numId="17">
    <w:abstractNumId w:val="17"/>
    <w:lvlOverride w:ilvl="0">
      <w:startOverride w:val="1"/>
    </w:lvlOverride>
  </w:num>
  <w:num w:numId="18">
    <w:abstractNumId w:val="18"/>
    <w:lvlOverride w:ilvl="1">
      <w:startOverride w:val="1"/>
    </w:lvlOverride>
  </w:num>
  <w:num w:numId="19">
    <w:abstractNumId w:val="19"/>
    <w:lvlOverride w:ilvl="1">
      <w:startOverride w:val="1"/>
    </w:lvlOverride>
  </w:num>
  <w:num w:numId="20">
    <w:abstractNumId w:val="20"/>
    <w:lvlOverride w:ilvl="1">
      <w:startOverride w:val="1"/>
    </w:lvlOverride>
  </w:num>
  <w:num w:numId="21">
    <w:abstractNumId w:val="21"/>
    <w:lvlOverride w:ilvl="0">
      <w:startOverride w:val="1"/>
    </w:lvlOverride>
  </w:num>
  <w:num w:numId="22">
    <w:abstractNumId w:val="22"/>
    <w:lvlOverride w:ilvl="0">
      <w:startOverride w:val="1"/>
    </w:lvlOverride>
  </w:num>
</w:numbering>
</file>

<file path=word/settings.xml><?xml version="1.0" encoding="utf-8"?>
<w:settings xmlns:w="http://schemas.openxmlformats.org/wordprocessingml/2006/main">
  <w:docVars>
    <w:docVar w:name="CoverComposition" w:val="band"/>
  </w:docVars>
</w:settings>
</file>

<file path=word/styles.xml><?xml version="1.0" encoding="utf-8"?>
<w:styles xmlns:w="http://schemas.openxmlformats.org/wordprocessingml/2006/main">
  <w:docDefaults>
    <w:rPrDefault>
      <w:rPr>
        <w:rFonts w:ascii="Inter" w:hAnsi="Inter" w:eastAsia="Inter" w:cs="Inter"/>
        <w:color w:val="1F2937"/>
        <w:sz w:val="20"/>
        <w:szCs w:val="20"/>
        <w:lang w:val="en-US"/>
      </w:rPr>
    </w:rPrDefault>
    <w:pPrDefault>
      <w:pPr>
        <w:widowControl/>
        <w:spacing w:after="0" w:line="240" w:lineRule="auto"/>
      </w:pPr>
    </w:pPrDefault>
  </w:docDefaults>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paragraph" w:styleId="Normal" w:default="true">
    <w:name w:val="Normal"/>
    <w:qFormat/>
    <w:pPr>
      <w:spacing w:before="0" w:after="144" w:line="316" w:lineRule="atLeast"/>
      <w:ind w:left="0" w:right="0" w:firstLine="0"/>
      <w:jc w:val="left"/>
    </w:pPr>
    <w:rPr>
      <w:rFonts w:ascii="Inter" w:hAnsi="Inter"/>
      <w:b w:val="false"/>
      <w:bCs w:val="false"/>
      <w:i w:val="false"/>
      <w:iCs w:val="false"/>
      <w:caps w:val="false"/>
      <w:color w:val="1F2937"/>
      <w:sz w:val="20"/>
      <w:szCs w:val="20"/>
    </w:rPr>
  </w:style>
  <w:style w:type="paragraph" w:styleId="ListParagraph">
    <w:name w:val="List Paragraph"/>
    <w:basedOn w:val="Normal"/>
    <w:qFormat/>
    <w:pPr>
      <w:spacing w:before="0" w:after="60" w:line="316" w:lineRule="atLeast"/>
      <w:ind w:left="0" w:right="0" w:firstLine="0"/>
      <w:jc w:val="left"/>
    </w:pPr>
    <w:rPr>
      <w:rFonts w:ascii="Inter" w:hAnsi="Inter"/>
      <w:b w:val="false"/>
      <w:bCs w:val="false"/>
      <w:i w:val="false"/>
      <w:iCs w:val="false"/>
      <w:caps w:val="false"/>
      <w:color w:val="1F2937"/>
      <w:sz w:val="20"/>
      <w:szCs w:val="20"/>
    </w:rPr>
  </w:style>
  <w:style w:type="paragraph" w:styleId="Heading1">
    <w:name w:val="Heading 1"/>
    <w:basedOn w:val="Normal"/>
    <w:next w:val="Normal"/>
    <w:qFormat/>
    <w:pPr>
      <w:keepNext/>
      <w:keepLines/>
      <w:pageBreakBefore w:val="true"/>
      <w:suppressAutoHyphens/>
      <w:spacing w:before="0" w:after="234" w:line="477" w:lineRule="atLeast"/>
      <w:ind w:left="0" w:right="0" w:firstLine="0"/>
      <w:jc w:val="left"/>
      <w:outlineLvl w:val="0"/>
    </w:pPr>
    <w:rPr>
      <w:rFonts w:ascii="Inter" w:hAnsi="Inter"/>
      <w:b w:val="true"/>
      <w:bCs w:val="true"/>
      <w:i w:val="false"/>
      <w:iCs w:val="false"/>
      <w:caps w:val="false"/>
      <w:color w:val="0B2350"/>
      <w:spacing w:val="-5"/>
      <w:sz w:val="39"/>
      <w:szCs w:val="39"/>
    </w:rPr>
  </w:style>
  <w:style w:type="paragraph" w:styleId="Heading2">
    <w:name w:val="Heading 2"/>
    <w:basedOn w:val="Normal"/>
    <w:next w:val="Normal"/>
    <w:qFormat/>
    <w:pPr>
      <w:keepNext/>
      <w:keepLines/>
      <w:pageBreakBefore w:val="false"/>
      <w:pBdr>
        <w:left w:val="single" w:color="E8620C" w:sz="24" w:space="9"/>
      </w:pBdr>
      <w:suppressAutoHyphens/>
      <w:spacing w:before="450" w:after="172" w:line="381" w:lineRule="atLeast"/>
      <w:ind w:left="232" w:right="0" w:firstLine="0"/>
      <w:jc w:val="left"/>
      <w:outlineLvl w:val="1"/>
    </w:pPr>
    <w:rPr>
      <w:rFonts w:ascii="Inter" w:hAnsi="Inter"/>
      <w:b w:val="true"/>
      <w:bCs w:val="true"/>
      <w:i w:val="false"/>
      <w:iCs w:val="false"/>
      <w:caps w:val="false"/>
      <w:color w:val="0B2350"/>
      <w:spacing w:val="-4"/>
      <w:sz w:val="31"/>
      <w:szCs w:val="31"/>
    </w:rPr>
  </w:style>
  <w:style w:type="paragraph" w:styleId="Heading3">
    <w:name w:val="Heading 3"/>
    <w:basedOn w:val="Normal"/>
    <w:next w:val="Normal"/>
    <w:qFormat/>
    <w:pPr>
      <w:keepNext/>
      <w:keepLines/>
      <w:pageBreakBefore w:val="false"/>
      <w:suppressAutoHyphens/>
      <w:spacing w:before="198" w:after="113" w:line="305" w:lineRule="atLeast"/>
      <w:ind w:left="0" w:right="0" w:firstLine="0"/>
      <w:jc w:val="left"/>
      <w:outlineLvl w:val="2"/>
    </w:pPr>
    <w:rPr>
      <w:rFonts w:ascii="Inter" w:hAnsi="Inter"/>
      <w:b w:val="true"/>
      <w:bCs w:val="true"/>
      <w:i w:val="false"/>
      <w:iCs w:val="false"/>
      <w:caps w:val="false"/>
      <w:color w:val="0B2350"/>
      <w:spacing w:val="-3"/>
      <w:sz w:val="25"/>
      <w:szCs w:val="25"/>
    </w:rPr>
  </w:style>
  <w:style w:type="paragraph" w:styleId="Heading4">
    <w:name w:val="Heading 4"/>
    <w:basedOn w:val="Normal"/>
    <w:next w:val="Normal"/>
    <w:qFormat/>
    <w:pPr>
      <w:keepNext/>
      <w:keepLines/>
      <w:pageBreakBefore w:val="false"/>
      <w:suppressAutoHyphens/>
      <w:spacing w:before="111" w:after="78" w:line="273" w:lineRule="atLeast"/>
      <w:ind w:left="0" w:right="0" w:firstLine="0"/>
      <w:jc w:val="left"/>
      <w:outlineLvl w:val="3"/>
    </w:pPr>
    <w:rPr>
      <w:rFonts w:ascii="Inter" w:hAnsi="Inter"/>
      <w:b w:val="true"/>
      <w:bCs w:val="true"/>
      <w:i w:val="false"/>
      <w:iCs w:val="false"/>
      <w:caps w:val="false"/>
      <w:color w:val="0B2350"/>
      <w:spacing w:val="-3"/>
      <w:sz w:val="22"/>
      <w:szCs w:val="22"/>
    </w:rPr>
  </w:style>
  <w:style w:type="paragraph" w:styleId="Heading5">
    <w:name w:val="Heading 5"/>
    <w:basedOn w:val="Normal"/>
    <w:next w:val="Normal"/>
    <w:qFormat/>
    <w:pPr>
      <w:keepNext/>
      <w:keepLines/>
      <w:pageBreakBefore w:val="false"/>
      <w:suppressAutoHyphens/>
      <w:spacing w:before="70" w:after="62" w:line="217" w:lineRule="atLeast"/>
      <w:ind w:left="0" w:right="0" w:firstLine="0"/>
      <w:jc w:val="left"/>
      <w:outlineLvl w:val="4"/>
    </w:pPr>
    <w:rPr>
      <w:rFonts w:ascii="Inter" w:hAnsi="Inter"/>
      <w:b w:val="true"/>
      <w:bCs w:val="true"/>
      <w:i w:val="false"/>
      <w:iCs w:val="false"/>
      <w:caps w:val="true"/>
      <w:color w:val="0B2350"/>
      <w:spacing w:val="11"/>
      <w:sz w:val="18"/>
      <w:szCs w:val="18"/>
    </w:rPr>
  </w:style>
  <w:style w:type="paragraph" w:styleId="Heading6">
    <w:name w:val="Heading 6"/>
    <w:basedOn w:val="Normal"/>
    <w:next w:val="Normal"/>
    <w:qFormat/>
    <w:pPr>
      <w:keepNext/>
      <w:keepLines/>
      <w:pageBreakBefore w:val="false"/>
      <w:suppressAutoHyphens/>
      <w:spacing w:before="70" w:after="62" w:line="217" w:lineRule="atLeast"/>
      <w:ind w:left="0" w:right="0" w:firstLine="0"/>
      <w:jc w:val="left"/>
      <w:outlineLvl w:val="5"/>
    </w:pPr>
    <w:rPr>
      <w:rFonts w:ascii="Inter" w:hAnsi="Inter"/>
      <w:b w:val="true"/>
      <w:bCs w:val="true"/>
      <w:i w:val="false"/>
      <w:iCs w:val="false"/>
      <w:caps w:val="true"/>
      <w:color w:val="0B2350"/>
      <w:spacing w:val="11"/>
      <w:sz w:val="18"/>
      <w:szCs w:val="18"/>
    </w:rPr>
  </w:style>
  <w:style w:type="paragraph" w:styleId="DocumentTitle" w:customStyle="true">
    <w:name w:val="Document Title"/>
    <w:basedOn w:val="Normal"/>
    <w:next w:val="Normal"/>
    <w:qFormat/>
    <w:pPr>
      <w:keepNext/>
      <w:keepLines/>
      <w:suppressAutoHyphens/>
      <w:spacing w:before="0" w:after="742" w:line="527" w:lineRule="atLeast"/>
      <w:ind w:left="0" w:right="0" w:firstLine="0"/>
      <w:jc w:val="left"/>
      <w:outlineLvl w:val="0"/>
    </w:pPr>
    <w:rPr>
      <w:rFonts w:ascii="Inter Tight" w:hAnsi="Inter Tight"/>
      <w:b w:val="true"/>
      <w:bCs w:val="true"/>
      <w:i w:val="false"/>
      <w:iCs w:val="false"/>
      <w:caps w:val="false"/>
      <w:color w:val="0B2350"/>
      <w:spacing w:val="-12"/>
      <w:sz w:val="49"/>
      <w:szCs w:val="49"/>
    </w:rPr>
  </w:style>
  <w:style w:type="paragraph" w:styleId="TOCHeading">
    <w:name w:val="TOC Heading"/>
    <w:basedOn w:val="Normal"/>
    <w:qFormat/>
    <w:pPr>
      <w:keepNext/>
      <w:keepLines/>
      <w:pBdr>
        <w:left w:val="single" w:color="E8620C" w:sz="24" w:space="9"/>
      </w:pBdr>
      <w:suppressAutoHyphens/>
      <w:spacing w:before="0" w:after="344" w:line="381" w:lineRule="atLeast"/>
      <w:ind w:left="232" w:right="0" w:firstLine="0"/>
      <w:jc w:val="left"/>
    </w:pPr>
    <w:rPr>
      <w:rFonts w:ascii="Inter" w:hAnsi="Inter"/>
      <w:b w:val="true"/>
      <w:bCs w:val="true"/>
      <w:i w:val="false"/>
      <w:iCs w:val="false"/>
      <w:caps w:val="false"/>
      <w:color w:val="0B2350"/>
      <w:spacing w:val="-4"/>
      <w:sz w:val="31"/>
      <w:szCs w:val="31"/>
    </w:rPr>
  </w:style>
  <w:style w:type="paragraph" w:styleId="TOC1">
    <w:name w:val="TOC 1"/>
    <w:basedOn w:val="Normal"/>
    <w:qFormat/>
    <w:pPr>
      <w:keepLines/>
      <w:pBdr>
        <w:bottom w:val="single" w:color="D3DBE6" w:sz="6" w:space="5"/>
        <w:between w:val="single" w:color="D3DBE6" w:sz="6" w:space="5"/>
      </w:pBdr>
      <w:suppressAutoHyphens/>
      <w:spacing w:before="100" w:after="0" w:line="270" w:lineRule="atLeast"/>
      <w:ind w:left="0" w:right="0" w:firstLine="0"/>
      <w:jc w:val="left"/>
    </w:pPr>
    <w:rPr>
      <w:rFonts w:ascii="Inter" w:hAnsi="Inter"/>
      <w:b w:val="true"/>
      <w:bCs w:val="true"/>
      <w:i w:val="false"/>
      <w:iCs w:val="false"/>
      <w:caps w:val="false"/>
      <w:color w:val="0B2350"/>
      <w:sz w:val="20"/>
      <w:szCs w:val="20"/>
    </w:rPr>
  </w:style>
  <w:style w:type="paragraph" w:styleId="TOC2">
    <w:name w:val="TOC 2"/>
    <w:basedOn w:val="Normal"/>
    <w:qFormat/>
    <w:pPr>
      <w:keepLines/>
      <w:pBdr>
        <w:bottom w:val="single" w:color="D3DBE6" w:sz="6" w:space="5"/>
        <w:between w:val="single" w:color="D3DBE6" w:sz="6" w:space="5"/>
      </w:pBdr>
      <w:suppressAutoHyphens/>
      <w:spacing w:before="100" w:after="0" w:line="270" w:lineRule="atLeast"/>
      <w:ind w:left="240" w:right="0" w:firstLine="0"/>
      <w:jc w:val="left"/>
    </w:pPr>
    <w:rPr>
      <w:rFonts w:ascii="Inter" w:hAnsi="Inter"/>
      <w:b w:val="false"/>
      <w:bCs w:val="false"/>
      <w:i w:val="false"/>
      <w:iCs w:val="false"/>
      <w:caps w:val="false"/>
      <w:color w:val="1F2937"/>
      <w:sz w:val="20"/>
      <w:szCs w:val="20"/>
    </w:rPr>
  </w:style>
  <w:style w:type="paragraph" w:styleId="TOC3">
    <w:name w:val="TOC 3"/>
    <w:basedOn w:val="Normal"/>
    <w:qFormat/>
    <w:pPr>
      <w:keepLines/>
      <w:pBdr>
        <w:bottom w:val="single" w:color="D3DBE6" w:sz="6" w:space="5"/>
        <w:between w:val="single" w:color="D3DBE6" w:sz="6" w:space="5"/>
      </w:pBdr>
      <w:suppressAutoHyphens/>
      <w:spacing w:before="100" w:after="0" w:line="240" w:lineRule="atLeast"/>
      <w:ind w:left="480" w:right="0" w:firstLine="0"/>
      <w:jc w:val="left"/>
    </w:pPr>
    <w:rPr>
      <w:rFonts w:ascii="Inter" w:hAnsi="Inter"/>
      <w:b w:val="false"/>
      <w:bCs w:val="false"/>
      <w:i w:val="false"/>
      <w:iCs w:val="false"/>
      <w:caps w:val="false"/>
      <w:color w:val="56606E"/>
      <w:sz w:val="18"/>
      <w:szCs w:val="18"/>
    </w:rPr>
  </w:style>
  <w:style w:type="paragraph" w:styleId="Caption">
    <w:name w:val="Caption"/>
    <w:basedOn w:val="Normal"/>
    <w:qFormat/>
    <w:pPr>
      <w:suppressAutoHyphens/>
      <w:spacing w:before="98" w:after="144" w:line="249" w:lineRule="atLeast"/>
      <w:ind w:left="0" w:right="0" w:firstLine="0"/>
      <w:jc w:val="center"/>
    </w:pPr>
    <w:rPr>
      <w:rFonts w:ascii="Inter" w:hAnsi="Inter"/>
      <w:b w:val="false"/>
      <w:bCs w:val="false"/>
      <w:i w:val="false"/>
      <w:iCs w:val="false"/>
      <w:caps w:val="false"/>
      <w:color w:val="56606E"/>
      <w:sz w:val="18"/>
      <w:szCs w:val="18"/>
    </w:rPr>
  </w:style>
  <w:style w:type="paragraph" w:styleId="Attribution" w:customStyle="true">
    <w:name w:val="Attribution"/>
    <w:basedOn w:val="Normal"/>
    <w:qFormat/>
    <w:pPr>
      <w:spacing w:before="0" w:after="144" w:line="231" w:lineRule="atLeast"/>
      <w:ind w:left="0" w:right="0" w:firstLine="0"/>
      <w:jc w:val="center"/>
    </w:pPr>
    <w:rPr>
      <w:rFonts w:ascii="Inter" w:hAnsi="Inter"/>
      <w:b w:val="false"/>
      <w:bCs w:val="false"/>
      <w:i w:val="true"/>
      <w:iCs w:val="true"/>
      <w:caps w:val="false"/>
      <w:color w:val="56606E"/>
      <w:sz w:val="18"/>
      <w:szCs w:val="18"/>
    </w:rPr>
  </w:style>
  <w:style w:type="paragraph" w:styleId="Quote">
    <w:name w:val="Quote"/>
    <w:basedOn w:val="Normal"/>
    <w:qFormat/>
    <w:pPr>
      <w:pBdr>
        <w:left w:val="single" w:color="E8620C" w:sz="24" w:space="10"/>
      </w:pBdr>
      <w:spacing w:before="230" w:after="144" w:line="316" w:lineRule="atLeast"/>
      <w:ind w:left="260" w:right="0" w:firstLine="0"/>
      <w:jc w:val="left"/>
    </w:pPr>
    <w:rPr>
      <w:rFonts w:ascii="Inter" w:hAnsi="Inter"/>
      <w:b w:val="false"/>
      <w:bCs w:val="false"/>
      <w:i w:val="true"/>
      <w:iCs w:val="true"/>
      <w:caps w:val="false"/>
      <w:color w:val="56606E"/>
      <w:sz w:val="20"/>
      <w:szCs w:val="20"/>
    </w:rPr>
  </w:style>
  <w:style w:type="paragraph" w:styleId="QuoteSource" w:customStyle="true">
    <w:name w:val="Quote Source"/>
    <w:basedOn w:val="Normal"/>
    <w:qFormat/>
    <w:pPr>
      <w:pBdr>
        <w:left w:val="single" w:color="E8620C" w:sz="24" w:space="10"/>
      </w:pBdr>
      <w:spacing w:before="230" w:after="144" w:line="316" w:lineRule="atLeast"/>
      <w:ind w:left="260" w:right="0" w:firstLine="0"/>
      <w:jc w:val="left"/>
    </w:pPr>
    <w:rPr>
      <w:rFonts w:ascii="Inter" w:hAnsi="Inter"/>
      <w:b w:val="false"/>
      <w:bCs w:val="false"/>
      <w:i w:val="false"/>
      <w:iCs w:val="false"/>
      <w:caps w:val="false"/>
      <w:color w:val="56606E"/>
      <w:sz w:val="18"/>
      <w:szCs w:val="18"/>
    </w:rPr>
  </w:style>
  <w:style w:type="paragraph" w:styleId="PullQuote" w:customStyle="true">
    <w:name w:val="Pull Quote"/>
    <w:basedOn w:val="Normal"/>
    <w:qFormat/>
    <w:pPr>
      <w:keepLines/>
      <w:pBdr>
        <w:top w:val="single" w:color="E8620C" w:sz="11" w:space="8"/>
        <w:bottom w:val="single" w:color="D3DBE6" w:sz="6" w:space="8"/>
      </w:pBdr>
      <w:spacing w:before="322" w:after="322" w:line="325" w:lineRule="atLeast"/>
      <w:ind w:left="0" w:right="0" w:firstLine="0"/>
      <w:jc w:val="left"/>
    </w:pPr>
    <w:rPr>
      <w:rFonts w:ascii="Inter Tight" w:hAnsi="Inter Tight"/>
      <w:b w:val="false"/>
      <w:bCs w:val="false"/>
      <w:i w:val="false"/>
      <w:iCs w:val="false"/>
      <w:caps w:val="false"/>
      <w:color w:val="0B2350"/>
      <w:sz w:val="25"/>
      <w:szCs w:val="25"/>
    </w:rPr>
  </w:style>
  <w:style w:type="paragraph" w:styleId="Callout" w:customStyle="true">
    <w:name w:val="Callout"/>
    <w:basedOn w:val="Normal"/>
    <w:qFormat/>
    <w:pPr>
      <w:pBdr>
        <w:top w:val="single" w:color="F3F6FA" w:sz="2" w:space="8"/>
        <w:left w:val="single" w:color="E8620C"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CalloutTip" w:customStyle="true">
    <w:name w:val="Callout Tip"/>
    <w:basedOn w:val="Normal"/>
    <w:qFormat/>
    <w:pPr>
      <w:pBdr>
        <w:top w:val="single" w:color="F3F6FA" w:sz="2" w:space="8"/>
        <w:left w:val="single" w:color="146C43"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CalloutWarning" w:customStyle="true">
    <w:name w:val="Callout Warning"/>
    <w:basedOn w:val="Normal"/>
    <w:qFormat/>
    <w:pPr>
      <w:pBdr>
        <w:top w:val="single" w:color="F3F6FA" w:sz="2" w:space="8"/>
        <w:left w:val="single" w:color="8A5300"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CalloutNote" w:customStyle="true">
    <w:name w:val="Callout Note"/>
    <w:basedOn w:val="Normal"/>
    <w:qFormat/>
    <w:pPr>
      <w:pBdr>
        <w:top w:val="single" w:color="F3F6FA" w:sz="2" w:space="8"/>
        <w:left w:val="single" w:color="0B2A5C"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Panel" w:customStyle="true">
    <w:name w:val="Panel"/>
    <w:basedOn w:val="Normal"/>
    <w:qFormat/>
    <w:pPr>
      <w:pBdr>
        <w:top w:val="single" w:color="F3F6FA" w:sz="2" w:space="8"/>
        <w:left w:val="single" w:color="0B2A5C"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PanelTop" w:customStyle="true">
    <w:name w:val="Panel Top"/>
    <w:basedOn w:val="Normal"/>
    <w:qFormat/>
    <w:pPr>
      <w:pBdr>
        <w:top w:val="single" w:color="0B2A5C" w:sz="24" w:space="8"/>
        <w:left w:val="single" w:color="F3F6FA" w:sz="2" w:space="10"/>
        <w:bottom w:val="single" w:color="F3F6FA" w:sz="2" w:space="8"/>
        <w:right w:val="single" w:color="F3F6FA" w:sz="2" w:space="10"/>
      </w:pBdr>
      <w:shd w:val="clear" w:color="auto" w:fill="F3F6FA"/>
      <w:spacing w:before="230" w:after="144" w:line="316" w:lineRule="atLeast"/>
      <w:ind w:left="215" w:right="215" w:firstLine="0"/>
      <w:jc w:val="left"/>
    </w:pPr>
    <w:rPr>
      <w:rFonts w:ascii="Inter" w:hAnsi="Inter"/>
      <w:b w:val="false"/>
      <w:bCs w:val="false"/>
      <w:i w:val="false"/>
      <w:iCs w:val="false"/>
      <w:caps w:val="false"/>
      <w:color w:val="1F2937"/>
      <w:sz w:val="20"/>
      <w:szCs w:val="20"/>
    </w:rPr>
  </w:style>
  <w:style w:type="paragraph" w:styleId="Code" w:customStyle="true">
    <w:name w:val="Code"/>
    <w:basedOn w:val="Normal"/>
    <w:qFormat/>
    <w:pPr>
      <w:pBdr>
        <w:top w:val="single" w:color="D3DBE6" w:sz="6" w:space="8"/>
        <w:left w:val="single" w:color="D3DBE6" w:sz="6" w:space="9"/>
        <w:bottom w:val="single" w:color="D3DBE6" w:sz="6" w:space="8"/>
        <w:right w:val="single" w:color="D3DBE6" w:sz="6" w:space="9"/>
      </w:pBdr>
      <w:shd w:val="clear" w:color="auto" w:fill="F3F6FA"/>
      <w:suppressAutoHyphens/>
      <w:spacing w:before="205" w:after="205" w:line="267" w:lineRule="atLeast"/>
      <w:ind w:left="193" w:right="193" w:firstLine="0"/>
      <w:contextualSpacing/>
      <w:jc w:val="left"/>
    </w:pPr>
    <w:rPr>
      <w:rFonts w:ascii="JetBrains Mono" w:hAnsi="JetBrains Mono"/>
      <w:b w:val="false"/>
      <w:bCs w:val="false"/>
      <w:i w:val="false"/>
      <w:iCs w:val="false"/>
      <w:caps w:val="false"/>
      <w:color w:val="1F2937"/>
      <w:sz w:val="18"/>
      <w:szCs w:val="18"/>
    </w:rPr>
  </w:style>
  <w:style w:type="paragraph" w:styleId="TableText" w:customStyle="true">
    <w:name w:val="Table Text"/>
    <w:basedOn w:val="Normal"/>
    <w:qFormat/>
    <w:pPr>
      <w:spacing w:before="0" w:after="0" w:line="253" w:lineRule="atLeast"/>
      <w:ind w:left="0" w:right="0" w:firstLine="0"/>
      <w:jc w:val="left"/>
    </w:pPr>
    <w:rPr>
      <w:rFonts w:ascii="Inter" w:hAnsi="Inter"/>
      <w:b w:val="false"/>
      <w:bCs w:val="false"/>
      <w:i w:val="false"/>
      <w:iCs w:val="false"/>
      <w:caps w:val="false"/>
      <w:color w:val="1F2937"/>
      <w:sz w:val="18"/>
      <w:szCs w:val="18"/>
    </w:rPr>
  </w:style>
  <w:style w:type="paragraph" w:styleId="TableHeading" w:customStyle="true">
    <w:name w:val="Table Heading"/>
    <w:basedOn w:val="Normal"/>
    <w:qFormat/>
    <w:pPr>
      <w:suppressAutoHyphens/>
      <w:spacing w:before="0" w:after="0" w:line="253" w:lineRule="atLeast"/>
      <w:ind w:left="0" w:right="0" w:firstLine="0"/>
      <w:jc w:val="left"/>
    </w:pPr>
    <w:rPr>
      <w:rFonts w:ascii="Inter" w:hAnsi="Inter"/>
      <w:b w:val="true"/>
      <w:bCs w:val="true"/>
      <w:i w:val="false"/>
      <w:iCs w:val="false"/>
      <w:caps w:val="false"/>
      <w:color w:val="FFFFFF"/>
      <w:sz w:val="18"/>
      <w:szCs w:val="18"/>
    </w:rPr>
  </w:style>
  <w:style w:type="paragraph" w:styleId="TableRowHeading" w:customStyle="true">
    <w:name w:val="Table Row Heading"/>
    <w:basedOn w:val="Normal"/>
    <w:qFormat/>
    <w:pPr>
      <w:suppressAutoHyphens/>
      <w:spacing w:before="0" w:after="0" w:line="253" w:lineRule="atLeast"/>
      <w:ind w:left="0" w:right="0" w:firstLine="0"/>
      <w:jc w:val="left"/>
    </w:pPr>
    <w:rPr>
      <w:rFonts w:ascii="Inter" w:hAnsi="Inter"/>
      <w:b w:val="true"/>
      <w:bCs w:val="true"/>
      <w:i w:val="false"/>
      <w:iCs w:val="false"/>
      <w:caps w:val="false"/>
      <w:color w:val="757575"/>
      <w:sz w:val="18"/>
      <w:szCs w:val="18"/>
    </w:rPr>
  </w:style>
  <w:style w:type="paragraph" w:styleId="Divider" w:customStyle="true">
    <w:name w:val="Divider"/>
    <w:basedOn w:val="Normal"/>
    <w:qFormat/>
    <w:pPr>
      <w:pBdr>
        <w:bottom w:val="single" w:color="D3DBE6" w:sz="6" w:space="0"/>
      </w:pBdr>
      <w:spacing w:before="236" w:after="380" w:line="20" w:lineRule="exact"/>
      <w:ind w:left="0" w:right="0" w:firstLine="0"/>
      <w:jc w:val="left"/>
    </w:pPr>
    <w:rPr>
      <w:rFonts w:ascii="Inter" w:hAnsi="Inter"/>
      <w:b w:val="false"/>
      <w:bCs w:val="false"/>
      <w:i w:val="false"/>
      <w:iCs w:val="false"/>
      <w:caps w:val="false"/>
      <w:color w:val="1F2937"/>
      <w:sz w:val="2"/>
      <w:szCs w:val="2"/>
    </w:rPr>
  </w:style>
  <w:style w:type="paragraph" w:styleId="SceneBreak" w:customStyle="true">
    <w:name w:val="Scene Break"/>
    <w:basedOn w:val="Normal"/>
    <w:qFormat/>
    <w:pPr>
      <w:keepNext/>
      <w:spacing w:before="280" w:after="280" w:line="240" w:lineRule="auto"/>
      <w:ind w:left="0" w:right="0" w:firstLine="0"/>
      <w:jc w:val="center"/>
    </w:pPr>
    <w:rPr>
      <w:rFonts w:ascii="Inter" w:hAnsi="Inter"/>
      <w:b w:val="false"/>
      <w:bCs w:val="false"/>
      <w:i w:val="false"/>
      <w:iCs w:val="false"/>
      <w:caps w:val="false"/>
      <w:color w:val="E8620C"/>
      <w:sz w:val="23"/>
      <w:szCs w:val="23"/>
    </w:rPr>
  </w:style>
  <w:style w:type="paragraph" w:styleId="HeadingBar" w:customStyle="true">
    <w:name w:val="Heading Bar"/>
    <w:basedOn w:val="Normal"/>
    <w:qFormat/>
    <w:pPr>
      <w:keepNext/>
      <w:spacing w:before="0" w:after="0" w:line="20" w:lineRule="exact"/>
      <w:ind w:left="0" w:right="0" w:firstLine="0"/>
      <w:jc w:val="left"/>
    </w:pPr>
    <w:rPr>
      <w:rFonts w:ascii="Inter" w:hAnsi="Inter"/>
      <w:b w:val="false"/>
      <w:bCs w:val="false"/>
      <w:i w:val="false"/>
      <w:iCs w:val="false"/>
      <w:caps w:val="false"/>
      <w:color w:val="E8620C"/>
      <w:sz w:val="2"/>
      <w:szCs w:val="2"/>
    </w:rPr>
  </w:style>
  <w:style w:type="paragraph" w:styleId="ChapterNumber" w:customStyle="true">
    <w:name w:val="Chapter Number"/>
    <w:basedOn w:val="Normal"/>
    <w:qFormat/>
    <w:pPr>
      <w:keepNext/>
      <w:suppressAutoHyphens/>
      <w:spacing w:before="1296" w:after="96" w:line="288" w:lineRule="auto"/>
      <w:ind w:left="0" w:right="0" w:firstLine="0"/>
      <w:jc w:val="center"/>
    </w:pPr>
    <w:rPr>
      <w:rFonts w:ascii="Inter" w:hAnsi="Inter"/>
      <w:b w:val="true"/>
      <w:bCs w:val="true"/>
      <w:i w:val="false"/>
      <w:iCs w:val="false"/>
      <w:caps w:val="true"/>
      <w:color w:val="B0460A"/>
      <w:spacing w:val="29"/>
      <w:sz w:val="16"/>
      <w:szCs w:val="16"/>
    </w:rPr>
  </w:style>
  <w:style w:type="paragraph" w:styleId="ChapterTitle" w:customStyle="true">
    <w:name w:val="Chapter Title"/>
    <w:basedOn w:val="Normal"/>
    <w:next w:val="Normal"/>
    <w:qFormat/>
    <w:pPr>
      <w:keepNext/>
      <w:keepLines/>
      <w:suppressAutoHyphens/>
      <w:spacing w:before="0" w:after="320" w:line="602" w:lineRule="atLeast"/>
      <w:ind w:left="0" w:right="0" w:firstLine="0"/>
      <w:jc w:val="center"/>
      <w:outlineLvl w:val="0"/>
    </w:pPr>
    <w:rPr>
      <w:rFonts w:ascii="Inter Tight" w:hAnsi="Inter Tight"/>
      <w:b w:val="true"/>
      <w:bCs w:val="true"/>
      <w:i w:val="false"/>
      <w:iCs w:val="false"/>
      <w:caps w:val="false"/>
      <w:color w:val="0B2350"/>
      <w:spacing w:val="-13"/>
      <w:sz w:val="52"/>
      <w:szCs w:val="52"/>
    </w:rPr>
  </w:style>
  <w:style w:type="paragraph" w:styleId="Title">
    <w:name w:val="Title"/>
    <w:basedOn w:val="Normal"/>
    <w:qFormat/>
    <w:pPr>
      <w:keepNext/>
      <w:suppressAutoHyphens/>
      <w:spacing w:before="0" w:after="0" w:line="758" w:lineRule="atLeast"/>
      <w:ind w:left="0" w:right="0" w:firstLine="0"/>
      <w:jc w:val="left"/>
    </w:pPr>
    <w:rPr>
      <w:rFonts w:ascii="Inter Tight" w:hAnsi="Inter Tight"/>
      <w:b w:val="true"/>
      <w:bCs w:val="true"/>
      <w:i w:val="false"/>
      <w:iCs w:val="false"/>
      <w:caps w:val="false"/>
      <w:color w:val="FFFFFF"/>
      <w:spacing w:val="-18"/>
      <w:sz w:val="70"/>
      <w:szCs w:val="70"/>
    </w:rPr>
  </w:style>
  <w:style w:type="paragraph" w:styleId="Subtitle">
    <w:name w:val="Subtitle"/>
    <w:basedOn w:val="Normal"/>
    <w:qFormat/>
    <w:pPr>
      <w:keepNext/>
      <w:suppressAutoHyphens/>
      <w:spacing w:before="140" w:after="0" w:line="383" w:lineRule="atLeast"/>
      <w:ind w:left="0" w:right="0" w:firstLine="0"/>
      <w:jc w:val="left"/>
    </w:pPr>
    <w:rPr>
      <w:rFonts w:ascii="Inter" w:hAnsi="Inter"/>
      <w:b w:val="false"/>
      <w:bCs w:val="false"/>
      <w:i w:val="false"/>
      <w:iCs w:val="false"/>
      <w:caps w:val="false"/>
      <w:color w:val="FFFFFF"/>
      <w:sz w:val="29"/>
      <w:szCs w:val="29"/>
    </w:rPr>
  </w:style>
  <w:style w:type="paragraph" w:styleId="CoverDescription" w:customStyle="true">
    <w:name w:val="Cover Description"/>
    <w:basedOn w:val="Normal"/>
    <w:qFormat/>
    <w:pPr>
      <w:spacing w:before="280" w:after="0" w:line="300" w:lineRule="atLeast"/>
      <w:ind w:left="0" w:right="0" w:firstLine="0"/>
      <w:jc w:val="left"/>
    </w:pPr>
    <w:rPr>
      <w:rFonts w:ascii="Inter" w:hAnsi="Inter"/>
      <w:b w:val="false"/>
      <w:bCs w:val="false"/>
      <w:i w:val="false"/>
      <w:iCs w:val="false"/>
      <w:caps w:val="false"/>
      <w:color w:val="56606E"/>
      <w:sz w:val="20"/>
      <w:szCs w:val="20"/>
    </w:rPr>
  </w:style>
  <w:style w:type="paragraph" w:styleId="CoverMeta" w:customStyle="true">
    <w:name w:val="Cover Meta"/>
    <w:basedOn w:val="Normal"/>
    <w:qFormat/>
    <w:pPr>
      <w:pBdr>
        <w:top w:val="single" w:color="D3DBE6" w:sz="6" w:space="8"/>
      </w:pBdr>
      <w:spacing w:before="140" w:after="0" w:line="249" w:lineRule="atLeast"/>
      <w:ind w:left="0" w:right="0" w:firstLine="0"/>
      <w:jc w:val="left"/>
    </w:pPr>
    <w:rPr>
      <w:rFonts w:ascii="Inter" w:hAnsi="Inter"/>
      <w:b w:val="false"/>
      <w:bCs w:val="false"/>
      <w:i w:val="false"/>
      <w:iCs w:val="false"/>
      <w:caps w:val="false"/>
      <w:color w:val="56606E"/>
      <w:sz w:val="18"/>
      <w:szCs w:val="18"/>
    </w:rPr>
  </w:style>
  <w:style w:type="paragraph" w:styleId="CoverRule" w:customStyle="true">
    <w:name w:val="Cover Rule"/>
    <w:basedOn w:val="Normal"/>
    <w:qFormat/>
    <w:pPr>
      <w:keepNext/>
      <w:spacing w:before="0" w:after="0" w:line="20" w:lineRule="exact"/>
      <w:ind w:left="0" w:right="0" w:firstLine="0"/>
      <w:jc w:val="left"/>
    </w:pPr>
    <w:rPr>
      <w:rFonts w:ascii="Inter" w:hAnsi="Inter"/>
      <w:b w:val="false"/>
      <w:bCs w:val="false"/>
      <w:i w:val="false"/>
      <w:iCs w:val="false"/>
      <w:caps w:val="false"/>
      <w:color w:val="E8620C"/>
      <w:sz w:val="2"/>
      <w:szCs w:val="2"/>
    </w:rPr>
  </w:style>
  <w:style w:type="paragraph" w:styleId="Header">
    <w:name w:val="Header"/>
    <w:basedOn w:val="Normal"/>
    <w:qFormat/>
    <w:pPr>
      <w:suppressAutoHyphens/>
      <w:spacing w:before="0" w:after="0" w:line="288" w:lineRule="auto"/>
      <w:ind w:left="0" w:right="0" w:firstLine="0"/>
      <w:jc w:val="left"/>
    </w:pPr>
    <w:rPr>
      <w:rFonts w:ascii="Inter" w:hAnsi="Inter"/>
      <w:b w:val="false"/>
      <w:bCs w:val="false"/>
      <w:i w:val="false"/>
      <w:iCs w:val="false"/>
      <w:caps w:val="false"/>
      <w:color w:val="56606E"/>
      <w:sz w:val="18"/>
      <w:szCs w:val="18"/>
    </w:rPr>
  </w:style>
  <w:style w:type="paragraph" w:styleId="Footer">
    <w:name w:val="Footer"/>
    <w:basedOn w:val="Normal"/>
    <w:qFormat/>
    <w:pPr>
      <w:suppressAutoHyphens/>
      <w:spacing w:before="0" w:after="0" w:line="288" w:lineRule="auto"/>
      <w:ind w:left="0" w:right="0" w:firstLine="0"/>
      <w:jc w:val="left"/>
    </w:pPr>
    <w:rPr>
      <w:rFonts w:ascii="Inter" w:hAnsi="Inter"/>
      <w:b w:val="false"/>
      <w:bCs w:val="false"/>
      <w:i w:val="false"/>
      <w:iCs w:val="false"/>
      <w:caps w:val="false"/>
      <w:color w:val="56606E"/>
      <w:sz w:val="18"/>
      <w:szCs w:val="18"/>
    </w:rPr>
  </w:style>
  <w:style w:type="character" w:styleId="InlineCode" w:customStyle="true">
    <w:name w:val="Inline Code"/>
    <w:basedOn w:val="DefaultParagraphFont"/>
    <w:uiPriority w:val="99"/>
    <w:unhideWhenUsed/>
    <w:rPr>
      <w:rFonts w:ascii="JetBrains Mono" w:hAnsi="JetBrains Mono"/>
      <w:color w:val="1F2937"/>
      <w:sz w:val="17"/>
      <w:szCs w:val="17"/>
      <w:shd w:val="clear" w:color="auto" w:fill="F3F6FA"/>
    </w:rPr>
  </w:style>
  <w:style w:type="character" w:styleId="Hyperlink">
    <w:name w:val="Hyperlink"/>
    <w:basedOn w:val="DefaultParagraphFont"/>
    <w:uiPriority w:val="99"/>
    <w:unhideWhenUsed/>
    <w:rPr>
      <w:color w:val="1A56B8"/>
      <w:u w:val="single"/>
    </w:rPr>
  </w:style>
</w:styles>
</file>

<file path=word/_rels/document.xml.rels>&#65279;<?xml version="1.0" encoding="utf-8"?><Relationships xmlns="http://schemas.openxmlformats.org/package/2006/relationships"><Relationship Type="http://schemas.openxmlformats.org/officeDocument/2006/relationships/styles" Target="/word/styles.xml" Id="Rc638f60729ff4666" /><Relationship Type="http://schemas.openxmlformats.org/officeDocument/2006/relationships/footer" Target="/word/footer1.xml" Id="R617a534bbdb6450f" /><Relationship Type="http://schemas.openxmlformats.org/officeDocument/2006/relationships/hyperlink" Target="https://www.fieldex.com/en/products/spare-parts-inventory" TargetMode="External" Id="R2299cee562494b4c" /><Relationship Type="http://schemas.openxmlformats.org/officeDocument/2006/relationships/hyperlink" Target="https://www.ventory.io/blog-posts/spare-parts-inventory-management-field-service" TargetMode="External" Id="Rb791c47f26e542ce" /><Relationship Type="http://schemas.openxmlformats.org/officeDocument/2006/relationships/hyperlink" Target="https://www.fieldequip.com/manage-field-spare-parts-inventory/" TargetMode="External" Id="R0f850357dfff4ffe" /><Relationship Type="http://schemas.openxmlformats.org/officeDocument/2006/relationships/numbering" Target="/word/numbering.xml" Id="R7fced998d6b441f7" /><Relationship Type="http://schemas.openxmlformats.org/officeDocument/2006/relationships/fontTable" Target="/word/fontTable.xml" Id="Rc6e2ecd317514662" /><Relationship Type="http://schemas.openxmlformats.org/officeDocument/2006/relationships/settings" Target="/word/settings.xml" Id="Rc844a23f7d9d45a9" /></Relationships>
</file>