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045a4577add4d0b" /></Relationships>
</file>

<file path=word/document.xml><?xml version="1.0" encoding="utf-8"?>
<w:document xmlns:w="http://schemas.openxmlformats.org/wordprocessingml/2006/main">
  <w:background w:color="FBF6EA"/>
  <w:body>
    <w:tbl>
      <w:tblPr>
        <w:tblW w:w="7056" w:type="dxa"/>
        <w:jc w:val="center"/>
        <w:tblInd w:w="0" w:type="dxa"/>
        <w:tblBorders>
          <w:top w:val="double" w:color="8B4513" w:sz="6" w:space="0"/>
          <w:left w:val="double" w:color="8B4513" w:sz="6" w:space="0"/>
          <w:bottom w:val="double" w:color="8B4513" w:sz="6" w:space="0"/>
          <w:right w:val="double" w:color="8B4513" w:sz="6" w:space="0"/>
        </w:tblBorders>
        <w:tblLayout w:type="fixed"/>
        <w:tblCellMar>
          <w:top w:w="0" w:type="dxa"/>
          <w:left w:w="0" w:type="dxa"/>
          <w:bottom w:w="0" w:type="dxa"/>
          <w:right w:w="0" w:type="dxa"/>
        </w:tblCellMar>
      </w:tblPr>
      <w:tblGrid>
        <w:gridCol w:w="7056"/>
      </w:tblGrid>
      <w:tr>
        <w:trPr>
          <w:cantSplit/>
          <w:trHeight w:val="9920" w:hRule="atLeast"/>
        </w:trPr>
        <w:tc>
          <w:tcPr>
            <w:tcW w:w="7056" w:type="dxa"/>
            <w:tcMar>
              <w:top w:w="648" w:type="dxa"/>
              <w:left w:w="1224" w:type="dxa"/>
              <w:bottom w:w="648" w:type="dxa"/>
              <w:right w:w="1224" w:type="dxa"/>
            </w:tcMar>
            <w:vAlign w:val="center"/>
          </w:tcPr>
          <w:p>
            <w:pPr>
              <w:pStyle w:val="Title"/>
              <w:jc w:val="center"/>
            </w:pPr>
            <w:r>
              <w:rPr>
                <w:lang w:val="en"/>
              </w:rPr>
              <w:t xml:space="preserve">Website showcase — Folio Manuscript &amp; Interior Proof (The Quiet Grid)</w:t>
            </w:r>
          </w:p>
          <w:p>
            <w:pPr>
              <w:pStyle w:val="CoverMeta"/>
              <w:spacing w:before="207" w:after="0"/>
              <w:jc w:val="center"/>
            </w:pPr>
            <w:r>
              <w:rPr>
                <w:color w:val="8B4513"/>
                <w:lang w:val="en"/>
              </w:rPr>
              <w:t xml:space="preserve">◆</w:t>
            </w:r>
          </w:p>
          <w:p>
            <w:pPr>
              <w:pStyle w:val="CoverMeta"/>
              <w:jc w:val="center"/>
            </w:pPr>
            <w:r>
              <w:rPr>
                <w:lang w:val="en"/>
              </w:rPr>
              <w:t xml:space="preserve">October 21, 2026</w:t>
            </w:r>
          </w:p>
        </w:tc>
      </w:tr>
    </w:tbl>
    <w:p>
      <w:pPr>
        <w:spacing w:before="0" w:after="0" w:line="20" w:lineRule="exact"/>
        <w:rPr>
          <w:sz w:val="2"/>
          <w:szCs w:val="2"/>
        </w:rPr>
        <w:sectPr>
          <w:type w:val="nextPage"/>
          <w:pgSz w:w="8640" w:h="12960" w:orient="portrait"/>
          <w:pgMar w:top="792" w:right="792" w:bottom="792" w:left="792" w:header="0" w:footer="0" w:gutter="0"/>
          <w:pgNumType w:fmt="decimal" w:start="1"/>
        </w:sectPr>
      </w:pPr>
    </w:p>
    <w:p>
      <w:pPr>
        <w:pStyle w:val="Heading2"/>
        <w:outlineLvl w:val="1"/>
      </w:pPr>
      <w:r>
        <w:rPr>
          <w:lang w:val="en"/>
        </w:rPr>
        <w:t xml:space="preserve">Website showcase — Folio Manuscript &amp; Interior Proof (The Quiet Grid)</w:t>
      </w:r>
    </w:p>
    <w:p>
      <w:pPr>
        <w:pStyle w:val="FirstParagraph"/>
      </w:pPr>
      <w:r>
        <w:rPr>
          <w:lang w:val="en"/>
        </w:rPr>
        <w:t xml:space="preserve">Copyright © 2026 </w:t>
      </w:r>
    </w:p>
    <w:p>
      <w:pPr>
        <w:pStyle w:val="FirstParagraph"/>
      </w:pPr>
      <w:r>
        <w:rPr>
          <w:lang w:val="en"/>
        </w:rPr>
        <w:t xml:space="preserve">All Rights Reserved</w:t>
      </w:r>
    </w:p>
    <w:p>
      <w:r>
        <w:br w:type="page"/>
      </w:r>
    </w:p>
    <w:p>
      <w:pPr>
        <w:pStyle w:val="Heading1"/>
        <w:pageBreakBefore w:val="false"/>
        <w:outlineLvl w:val="0"/>
      </w:pPr>
      <w:r>
        <w:rPr>
          <w:lang w:val="en"/>
        </w:rPr>
        <w:t xml:space="preserve">Table of Contents</w:t>
      </w:r>
    </w:p>
    <w:p>
      <w:pPr>
        <w:pStyle w:val="ListParagraph"/>
        <w:numPr>
          <w:ilvl w:val="0"/>
          <w:numId w:val="1"/>
        </w:numPr>
        <w:ind w:left="360" w:hanging="240"/>
      </w:pPr>
      <w:r>
        <w:rPr>
          <w:lang w:val="en"/>
        </w:rPr>
        <w:t xml:space="preserve">Chapter 1: Substation Craft and Operating Discipline</w:t>
      </w:r>
    </w:p>
    <w:p>
      <w:pPr>
        <w:pStyle w:val="ListParagraph"/>
        <w:numPr>
          <w:ilvl w:val="0"/>
          <w:numId w:val="1"/>
        </w:numPr>
        <w:ind w:left="360" w:hanging="240"/>
      </w:pPr>
      <w:r>
        <w:rPr>
          <w:lang w:val="en"/>
        </w:rPr>
        <w:t xml:space="preserve">Chapter 2: Designing Readable Field Manuals</w:t>
      </w:r>
    </w:p>
    <w:p>
      <w:pPr>
        <w:pStyle w:val="ListParagraph"/>
        <w:numPr>
          <w:ilvl w:val="0"/>
          <w:numId w:val="1"/>
        </w:numPr>
        <w:ind w:left="360" w:hanging="240"/>
      </w:pPr>
      <w:r>
        <w:rPr>
          <w:lang w:val="en"/>
        </w:rPr>
        <w:t xml:space="preserve">Chapter 3: Prepress Proofs, Trim Sizes, and Multilingual Editions</w:t>
      </w:r>
    </w:p>
    <w:p>
      <w:r>
        <w:br w:type="page"/>
      </w:r>
    </w:p>
    <w:p>
      <w:pPr>
        <w:pStyle w:val="ChapterNumber"/>
      </w:pPr>
      <w:r>
        <w:rPr>
          <w:lang w:val="en"/>
        </w:rPr>
        <w:t xml:space="preserve">Chapter 1</w:t>
      </w:r>
    </w:p>
    <w:p>
      <w:pPr>
        <w:pStyle w:val="ChapterTitle"/>
        <w:outlineLvl w:val="0"/>
      </w:pPr>
      <w:r>
        <w:rPr>
          <w:lang w:val="en"/>
        </w:rPr>
        <w:t xml:space="preserve">Substation Craft and Operating Discipline</w:t>
      </w:r>
    </w:p>
    <w:p>
      <w:pPr>
        <w:pStyle w:val="FirstParagraph"/>
      </w:pPr>
      <w:r>
        <w:rPr>
          <w:lang w:val="en"/>
        </w:rPr>
        <w:t xml:space="preserve">Every regional transmission grid depends on quiet, repeatable routines performed long before an alarm reaches the control room. At Northwind Field Operations, crews begin each morning with a physical walkdown of the primary transformer bay, checking oil-level sight glasses, silica-gel breather color, and bushing temperature trends against the prior seven-day baseline.</w:t>
      </w:r>
    </w:p>
    <w:p>
      <w:pPr>
        <w:pStyle w:val="Normal"/>
      </w:pPr>
      <w:r>
        <w:rPr>
          <w:lang w:val="en"/>
        </w:rPr>
        <w:t xml:space="preserve">When a feeder relay trips during peak winter load, the difference between a twelve-minute restoration and a four-hour outage rarely lies in software alone. It rests on whether the switching order was verified against the single-line diagram, whether the grounding cluster was staged at the bay gate, and whether every technician on the apron repeated the three-way phonetic readback without abbreviation.</w:t>
      </w:r>
    </w:p>
    <w:p>
      <w:pPr>
        <w:pStyle w:val="Quote"/>
        <w:spacing w:after="265"/>
      </w:pPr>
      <w:r>
        <w:rPr>
          <w:b/>
          <w:lang w:val="en"/>
        </w:rPr>
        <w:t xml:space="preserve">Principle of the Quiet Grid:</w:t>
      </w:r>
      <w:r>
        <w:rPr>
          <w:lang w:val="en"/>
        </w:rPr>
        <w:t xml:space="preserve"> An unhurried switching step verified twice at the disconnect handle prevents the emergency that no automated recloser can undo.</w:t>
      </w:r>
    </w:p>
    <w:p>
      <w:pPr>
        <w:pStyle w:val="Heading2"/>
        <w:outlineLvl w:val="1"/>
      </w:pPr>
      <w:r>
        <w:rPr>
          <w:lang w:val="en"/>
        </w:rPr>
        <w:t xml:space="preserve">Table 1.1 — Standard Substation Bay Walkdown Thresholds (Fictional Sample)</w:t>
      </w:r>
    </w:p>
    <w:tbl>
      <w:tblPr>
        <w:tblW w:w="5760" w:type="dxa"/>
        <w:tblInd w:w="0" w:type="dxa"/>
        <w:tblBorders>
          <w:top w:val="single" w:color="4A3524" w:sz="11"/>
          <w:left w:val="nil"/>
          <w:bottom w:val="single" w:color="4A3524" w:sz="11"/>
          <w:right w:val="nil"/>
          <w:insideH w:val="nil"/>
          <w:insideV w:val="nil"/>
        </w:tblBorders>
        <w:tblLayout w:type="fixed"/>
        <w:tblCellMar>
          <w:top w:w="102" w:type="dxa"/>
          <w:left w:w="113" w:type="dxa"/>
          <w:bottom w:w="102" w:type="dxa"/>
          <w:right w:w="113" w:type="dxa"/>
        </w:tblCellMar>
      </w:tblPr>
      <w:tblGrid>
        <w:gridCol w:w="1440"/>
        <w:gridCol w:w="1440"/>
        <w:gridCol w:w="1440"/>
        <w:gridCol w:w="1440"/>
      </w:tblGrid>
      <w:tr>
        <w:trPr>
          <w:cantSplit/>
          <w:tblHeader/>
        </w:trPr>
        <w:tc>
          <w:tcPr>
            <w:tcW w:w="1440" w:type="dxa"/>
            <w:tcBorders>
              <w:bottom w:val="single" w:color="4A3524" w:sz="6" w:space="0"/>
            </w:tcBorders>
            <w:tcMar>
              <w:left w:w="0" w:type="dxa"/>
            </w:tcMar>
          </w:tcPr>
          <w:p>
            <w:pPr>
              <w:pStyle w:val="TableHeading"/>
              <w:spacing w:before="0" w:after="0" w:line="240" w:lineRule="auto"/>
              <w:ind w:left="0" w:right="0" w:firstLine="0"/>
              <w:jc w:val="left"/>
            </w:pPr>
            <w:r>
              <w:rPr>
                <w:b/>
                <w:lang w:val="en"/>
              </w:rPr>
              <w:t xml:space="preserve">Inspection Point</w:t>
            </w:r>
          </w:p>
        </w:tc>
        <w:tc>
          <w:tcPr>
            <w:tcW w:w="1440" w:type="dxa"/>
            <w:tcBorders>
              <w:bottom w:val="single" w:color="4A3524" w:sz="6" w:space="0"/>
            </w:tcBorders>
          </w:tcPr>
          <w:p>
            <w:pPr>
              <w:pStyle w:val="TableHeading"/>
              <w:spacing w:before="0" w:after="0" w:line="240" w:lineRule="auto"/>
              <w:ind w:left="0" w:right="0" w:firstLine="0"/>
              <w:jc w:val="left"/>
            </w:pPr>
            <w:r>
              <w:rPr>
                <w:b/>
                <w:lang w:val="en"/>
              </w:rPr>
              <w:t xml:space="preserve">Normal Operating Band</w:t>
            </w:r>
          </w:p>
        </w:tc>
        <w:tc>
          <w:tcPr>
            <w:tcW w:w="1440" w:type="dxa"/>
            <w:tcBorders>
              <w:bottom w:val="single" w:color="4A3524" w:sz="6" w:space="0"/>
            </w:tcBorders>
          </w:tcPr>
          <w:p>
            <w:pPr>
              <w:pStyle w:val="TableHeading"/>
              <w:spacing w:before="0" w:after="0" w:line="240" w:lineRule="auto"/>
              <w:ind w:left="0" w:right="0" w:firstLine="0"/>
              <w:jc w:val="left"/>
            </w:pPr>
            <w:r>
              <w:rPr>
                <w:b/>
                <w:lang w:val="en"/>
              </w:rPr>
              <w:t xml:space="preserve">Action Threshold</w:t>
            </w:r>
          </w:p>
        </w:tc>
        <w:tc>
          <w:tcPr>
            <w:tcW w:w="1440" w:type="dxa"/>
            <w:tcBorders>
              <w:bottom w:val="single" w:color="4A3524" w:sz="6" w:space="0"/>
            </w:tcBorders>
          </w:tcPr>
          <w:p>
            <w:pPr>
              <w:pStyle w:val="TableHeading"/>
              <w:spacing w:before="0" w:after="0" w:line="240" w:lineRule="auto"/>
              <w:ind w:left="0" w:right="0" w:firstLine="0"/>
              <w:jc w:val="left"/>
            </w:pPr>
            <w:r>
              <w:rPr>
                <w:b/>
                <w:lang w:val="en"/>
              </w:rPr>
              <w:t xml:space="preserve">Immediate Escalation</w:t>
            </w:r>
          </w:p>
        </w:tc>
      </w:tr>
      <w:tr>
        <w:trPr>
          <w:cantSplit/>
        </w:trPr>
        <w:tc>
          <w:tcPr>
            <w:tcW w:w="1440" w:type="dxa"/>
            <w:tcMar>
              <w:left w:w="0" w:type="dxa"/>
            </w:tcMar>
          </w:tcPr>
          <w:p>
            <w:pPr>
              <w:pStyle w:val="TableText"/>
              <w:spacing w:before="0" w:after="0" w:line="240" w:lineRule="auto"/>
              <w:ind w:left="0" w:right="0" w:firstLine="0"/>
              <w:jc w:val="left"/>
            </w:pPr>
            <w:r>
              <w:rPr>
                <w:lang w:val="en"/>
              </w:rPr>
              <w:t xml:space="preserve">Top-Oil Temperature Rise</w:t>
            </w:r>
          </w:p>
        </w:tc>
        <w:tc>
          <w:tcPr>
            <w:tcW w:w="1440" w:type="dxa"/>
          </w:tcPr>
          <w:p>
            <w:pPr>
              <w:pStyle w:val="TableText"/>
              <w:spacing w:before="0" w:after="0" w:line="240" w:lineRule="auto"/>
              <w:ind w:left="0" w:right="0" w:firstLine="0"/>
              <w:jc w:val="left"/>
            </w:pPr>
            <w:r>
              <w:rPr>
                <w:lang w:val="en"/>
              </w:rPr>
              <w:t xml:space="preserve">35 °C – 52 °C</w:t>
            </w:r>
          </w:p>
        </w:tc>
        <w:tc>
          <w:tcPr>
            <w:tcW w:w="1440" w:type="dxa"/>
          </w:tcPr>
          <w:p>
            <w:pPr>
              <w:pStyle w:val="TableText"/>
              <w:spacing w:before="0" w:after="0" w:line="240" w:lineRule="auto"/>
              <w:ind w:left="0" w:right="0" w:firstLine="0"/>
              <w:jc w:val="left"/>
            </w:pPr>
            <w:r>
              <w:rPr>
                <w:lang w:val="en"/>
              </w:rPr>
              <w:t xml:space="preserve">55 °C – 62 °C</w:t>
            </w:r>
          </w:p>
        </w:tc>
        <w:tc>
          <w:tcPr>
            <w:tcW w:w="1440" w:type="dxa"/>
          </w:tcPr>
          <w:p>
            <w:pPr>
              <w:pStyle w:val="TableText"/>
              <w:spacing w:before="0" w:after="0" w:line="240" w:lineRule="auto"/>
              <w:ind w:left="0" w:right="0" w:firstLine="0"/>
              <w:jc w:val="left"/>
            </w:pPr>
            <w:r>
              <w:rPr>
                <w:lang w:val="en"/>
              </w:rPr>
              <w:t xml:space="preserve">&gt; 65 °C or rapid climb</w:t>
            </w:r>
          </w:p>
        </w:tc>
      </w:tr>
      <w:tr>
        <w:trPr>
          <w:cantSplit/>
        </w:trPr>
        <w:tc>
          <w:tcPr>
            <w:tcW w:w="1440" w:type="dxa"/>
            <w:tcMar>
              <w:left w:w="0" w:type="dxa"/>
            </w:tcMar>
          </w:tcPr>
          <w:p>
            <w:pPr>
              <w:pStyle w:val="TableText"/>
              <w:spacing w:before="0" w:after="0" w:line="240" w:lineRule="auto"/>
              <w:ind w:left="0" w:right="0" w:firstLine="0"/>
              <w:jc w:val="left"/>
            </w:pPr>
            <w:r>
              <w:rPr>
                <w:lang w:val="en"/>
              </w:rPr>
              <w:t xml:space="preserve">SF6 Breaker Gas Density</w:t>
            </w:r>
          </w:p>
        </w:tc>
        <w:tc>
          <w:tcPr>
            <w:tcW w:w="1440" w:type="dxa"/>
          </w:tcPr>
          <w:p>
            <w:pPr>
              <w:pStyle w:val="TableText"/>
              <w:spacing w:before="0" w:after="0" w:line="240" w:lineRule="auto"/>
              <w:ind w:left="0" w:right="0" w:firstLine="0"/>
              <w:jc w:val="left"/>
            </w:pPr>
            <w:r>
              <w:rPr>
                <w:lang w:val="en"/>
              </w:rPr>
              <w:t xml:space="preserve">0.62 – 0.65 MPa</w:t>
            </w:r>
          </w:p>
        </w:tc>
        <w:tc>
          <w:tcPr>
            <w:tcW w:w="1440" w:type="dxa"/>
          </w:tcPr>
          <w:p>
            <w:pPr>
              <w:pStyle w:val="TableText"/>
              <w:spacing w:before="0" w:after="0" w:line="240" w:lineRule="auto"/>
              <w:ind w:left="0" w:right="0" w:firstLine="0"/>
              <w:jc w:val="left"/>
            </w:pPr>
            <w:r>
              <w:rPr>
                <w:lang w:val="en"/>
              </w:rPr>
              <w:t xml:space="preserve">0.58 – 0.61 MPa</w:t>
            </w:r>
          </w:p>
        </w:tc>
        <w:tc>
          <w:tcPr>
            <w:tcW w:w="1440" w:type="dxa"/>
          </w:tcPr>
          <w:p>
            <w:pPr>
              <w:pStyle w:val="TableText"/>
              <w:spacing w:before="0" w:after="0" w:line="240" w:lineRule="auto"/>
              <w:ind w:left="0" w:right="0" w:firstLine="0"/>
              <w:jc w:val="left"/>
            </w:pPr>
            <w:r>
              <w:rPr>
                <w:lang w:val="en"/>
              </w:rPr>
              <w:t xml:space="preserve">&lt; 0.56 MPa (lockout alarm)</w:t>
            </w:r>
          </w:p>
        </w:tc>
      </w:tr>
      <w:tr>
        <w:trPr>
          <w:cantSplit/>
        </w:trPr>
        <w:tc>
          <w:tcPr>
            <w:tcW w:w="1440" w:type="dxa"/>
            <w:tcMar>
              <w:left w:w="0" w:type="dxa"/>
            </w:tcMar>
          </w:tcPr>
          <w:p>
            <w:pPr>
              <w:pStyle w:val="TableText"/>
              <w:spacing w:before="0" w:after="0" w:line="240" w:lineRule="auto"/>
              <w:ind w:left="0" w:right="0" w:firstLine="0"/>
              <w:jc w:val="left"/>
            </w:pPr>
            <w:r>
              <w:rPr>
                <w:lang w:val="en"/>
              </w:rPr>
              <w:t xml:space="preserve">Station Battery Float Voltage</w:t>
            </w:r>
          </w:p>
        </w:tc>
        <w:tc>
          <w:tcPr>
            <w:tcW w:w="1440" w:type="dxa"/>
          </w:tcPr>
          <w:p>
            <w:pPr>
              <w:pStyle w:val="TableText"/>
              <w:spacing w:before="0" w:after="0" w:line="240" w:lineRule="auto"/>
              <w:ind w:left="0" w:right="0" w:firstLine="0"/>
              <w:jc w:val="left"/>
            </w:pPr>
            <w:r>
              <w:rPr>
                <w:lang w:val="en"/>
              </w:rPr>
              <w:t xml:space="preserve">129.0 – 131.5 V DC</w:t>
            </w:r>
          </w:p>
        </w:tc>
        <w:tc>
          <w:tcPr>
            <w:tcW w:w="1440" w:type="dxa"/>
          </w:tcPr>
          <w:p>
            <w:pPr>
              <w:pStyle w:val="TableText"/>
              <w:spacing w:before="0" w:after="0" w:line="240" w:lineRule="auto"/>
              <w:ind w:left="0" w:right="0" w:firstLine="0"/>
              <w:jc w:val="left"/>
            </w:pPr>
            <w:r>
              <w:rPr>
                <w:lang w:val="en"/>
              </w:rPr>
              <w:t xml:space="preserve">126.5 – 128.9 V DC</w:t>
            </w:r>
          </w:p>
        </w:tc>
        <w:tc>
          <w:tcPr>
            <w:tcW w:w="1440" w:type="dxa"/>
          </w:tcPr>
          <w:p>
            <w:pPr>
              <w:pStyle w:val="TableText"/>
              <w:spacing w:before="0" w:after="0" w:line="240" w:lineRule="auto"/>
              <w:ind w:left="0" w:right="0" w:firstLine="0"/>
              <w:jc w:val="left"/>
            </w:pPr>
            <w:r>
              <w:rPr>
                <w:lang w:val="en"/>
              </w:rPr>
              <w:t xml:space="preserve">&lt; 125.0 V DC or ground fault</w:t>
            </w:r>
          </w:p>
        </w:tc>
      </w:tr>
    </w:tbl>
    <w:p>
      <w:pPr>
        <w:pStyle w:val="FirstParagraph"/>
      </w:pPr>
      <w:r>
        <w:rPr>
          <w:lang w:val="en"/>
        </w:rPr>
        <w:t xml:space="preserve">Fictional sample manuscript prepared for Gixo Folio typography and book-proof evaluation.</w:t>
      </w:r>
    </w:p>
    <w:p>
      <w:pPr>
        <w:pStyle w:val="Normal"/>
      </w:pPr>
      <w:r>
        <w:rPr>
          <w:b/>
          <w:lang w:val="en"/>
        </w:rPr>
        <w:t xml:space="preserve">Field Revision Note (Applied in Folio Editor):</w:t>
      </w:r>
      <w:r>
        <w:rPr>
          <w:lang w:val="en"/>
        </w:rPr>
        <w:t xml:space="preserve"> Before energizing any 230 kV bay after maintenance, confirm that the portable ground cluster serial numbers match the clearance tag log and that all three phase disconnects show visible mechanical lock pins.</w:t>
      </w:r>
    </w:p>
    <w:p>
      <w:r>
        <w:br w:type="page"/>
      </w:r>
    </w:p>
    <w:p>
      <w:pPr>
        <w:pStyle w:val="ChapterNumber"/>
      </w:pPr>
      <w:r>
        <w:rPr>
          <w:lang w:val="en"/>
        </w:rPr>
        <w:t xml:space="preserve">Chapter 2</w:t>
      </w:r>
    </w:p>
    <w:p>
      <w:pPr>
        <w:pStyle w:val="ChapterTitle"/>
        <w:outlineLvl w:val="0"/>
      </w:pPr>
      <w:r>
        <w:rPr>
          <w:lang w:val="en"/>
        </w:rPr>
        <w:t xml:space="preserve">Designing Readable Field Manuals</w:t>
      </w:r>
    </w:p>
    <w:p>
      <w:pPr>
        <w:pStyle w:val="FirstParagraph"/>
      </w:pPr>
      <w:r>
        <w:rPr>
          <w:lang w:val="en"/>
        </w:rPr>
        <w:t xml:space="preserve">A technical book read under substation floodlights cannot rely on delicate hairline rules or cramped margins. Line measure, running headers, and clear section hierarchy allow an engineer wearing insulated gloves to hold the book open on a clipboard shelf and locate the isolation sequence in seconds.</w:t>
      </w:r>
    </w:p>
    <w:p>
      <w:pPr>
        <w:pStyle w:val="Normal"/>
      </w:pPr>
      <w:r>
        <w:rPr>
          <w:lang w:val="en"/>
        </w:rPr>
        <w:t xml:space="preserve">In trade paperback layout (6 × 9 inches), a generous inside gutter ensures that tables and callout boxes never vanish into the spine binding. Meanwhile, reflowable EPUB editions adapt the same semantic headings and tables to ruggedized field tablets without horizontal scrolling.</w:t>
      </w:r>
    </w:p>
    <w:p>
      <w:pPr>
        <w:pStyle w:val="FirstParagraph"/>
      </w:pPr>
      <w:r>
        <w:rPr>
          <w:b/>
          <w:lang w:val="en"/>
        </w:rPr>
        <w:t xml:space="preserve">Workbook Exercise 2.1 — Switching Readback Audit:</w:t>
      </w:r>
      <w:r>
        <w:rPr>
          <w:lang w:val="en"/>
        </w:rPr>
        <w:t xml:space="preserve"> Review your depot’s last five switching logs. Circle any entry where the time of tag placement was recorded without the verifying operator’s initials.</w:t>
      </w:r>
    </w:p>
    <w:p>
      <w:pPr>
        <w:pStyle w:val="FirstParagraph"/>
      </w:pPr>
      <w:r>
        <w:rPr>
          <w:lang w:val="en"/>
        </w:rPr>
        <w:t xml:space="preserve">By separating semantic manuscript structure from the visual book style template, an editorial team can proof the same chapters as a classic serif trade book, a structured workbook, or an executive technical manual.</w:t>
      </w:r>
    </w:p>
    <w:p>
      <w:r>
        <w:br w:type="page"/>
      </w:r>
    </w:p>
    <w:p>
      <w:pPr>
        <w:pStyle w:val="ChapterNumber"/>
      </w:pPr>
      <w:r>
        <w:rPr>
          <w:lang w:val="en"/>
        </w:rPr>
        <w:t xml:space="preserve">Chapter 3</w:t>
      </w:r>
    </w:p>
    <w:p>
      <w:pPr>
        <w:pStyle w:val="ChapterTitle"/>
        <w:outlineLvl w:val="0"/>
      </w:pPr>
      <w:r>
        <w:rPr>
          <w:lang w:val="en"/>
        </w:rPr>
        <w:t xml:space="preserve">Prepress Proofs, Trim Sizes, and Multilingual Editions</w:t>
      </w:r>
    </w:p>
    <w:p>
      <w:pPr>
        <w:pStyle w:val="FirstParagraph"/>
      </w:pPr>
      <w:r>
        <w:rPr>
          <w:lang w:val="en"/>
        </w:rPr>
        <w:t xml:space="preserve">Before releasing a field manual to regional depots or commercial print-on-demand channels, production editors inspect the interior proof for running header alignment, chapter-opening sinkage, widow/orphan control, and table pagination.</w:t>
      </w:r>
    </w:p>
    <w:p>
      <w:pPr>
        <w:pStyle w:val="Normal"/>
      </w:pPr>
      <w:r>
        <w:rPr>
          <w:lang w:val="en"/>
        </w:rPr>
        <w:t xml:space="preserve">When safety handbooks are issued in multiple scripts—such as Arabic right-to-left (RTL), Hindi Devanagari, or Japanese CJK—the typesetting pipeline must select script-appropriate fonts, preserve contextual glyph shaping, and set paragraph directionality from the manuscript’s own writing language.</w:t>
      </w:r>
    </w:p>
    <w:p>
      <w:pPr>
        <w:pStyle w:val="Normal"/>
      </w:pPr>
      <w:r>
        <w:rPr>
          <w:lang w:val="en"/>
        </w:rPr>
        <w:t xml:space="preserve">This third chapter completes our fictional sample manuscript so full-book table of contents generation, running headers, and multi-chapter pagination can be inspected end to end.</w:t>
      </w:r>
    </w:p>
    <w:sectPr>
      <w:footerReference xmlns:r="http://schemas.openxmlformats.org/officeDocument/2006/relationships" w:type="default" r:id="R5a810aa54f0a47cd"/>
      <w:pgSz w:w="8640" w:h="12960" w:orient="portrait"/>
      <w:pgMar w:top="1440" w:right="1440" w:bottom="1440" w:left="1440" w:header="720" w:footer="720" w:gutter="0"/>
      <w:pgNumType w:fmt="decimal"/>
    </w:sectPr>
  </w:body>
</w:document>
</file>

<file path=word/fontTable.xml><?xml version="1.0" encoding="utf-8"?>
<w:fonts xmlns:w="http://schemas.openxmlformats.org/wordprocessingml/2006/main">
  <w:font w:name="EB Garamond">
    <w:family w:val="roman"/>
    <w:pitch w:val="variable"/>
  </w:font>
  <w:font w:name="Cormorant Garamond">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
        </w:rPr>
        <w:t xml:space="preserve">1</w:t>
      </w:r>
    </w:fldSimple>
    <w:r>
      <w:rPr>
        <w:lang w:val="en"/>
      </w:rPr>
      <w:t xml:space="preserve"> / </w:t>
    </w:r>
    <w:fldSimple w:instr="NUMPAGES">
      <w:r>
        <w:rPr>
          <w:lang w:val="en"/>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num w:numId="1">
    <w:abstractNumId w:val="1"/>
    <w:lvlOverride w:ilvl="0">
      <w:startOverride w:val="1"/>
    </w:lvlOverride>
  </w:num>
</w:numbering>
</file>

<file path=word/settings.xml><?xml version="1.0" encoding="utf-8"?>
<w:settings xmlns:w="http://schemas.openxmlformats.org/wordprocessingml/2006/main">
  <w:displayBackgroundShape/>
  <w:autoHyphenation w:val="true"/>
  <w:docVars>
    <w:docVar w:name="CoverComposition" w:val="frame"/>
  </w:docVars>
</w:settings>
</file>

<file path=word/styles.xml><?xml version="1.0" encoding="utf-8"?>
<w:styles xmlns:w="http://schemas.openxmlformats.org/wordprocessingml/2006/main">
  <w:docDefaults>
    <w:rPrDefault>
      <w:rPr>
        <w:rFonts w:ascii="EB Garamond" w:hAnsi="EB Garamond" w:eastAsia="EB Garamond" w:cs="EB Garamond"/>
        <w:color w:val="2B2218"/>
        <w:sz w:val="23"/>
        <w:szCs w:val="23"/>
        <w:lang w:val="en"/>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45" w:lineRule="atLeast"/>
      <w:ind w:left="0" w:right="0" w:firstLine="322"/>
      <w:jc w:val="both"/>
    </w:pPr>
    <w:rPr>
      <w:rFonts w:ascii="EB Garamond" w:hAnsi="EB Garamond"/>
      <w:b w:val="false"/>
      <w:bCs w:val="false"/>
      <w:i w:val="false"/>
      <w:iCs w:val="false"/>
      <w:caps w:val="false"/>
      <w:color w:val="2B2218"/>
      <w:sz w:val="23"/>
      <w:szCs w:val="23"/>
    </w:rPr>
  </w:style>
  <w:style w:type="paragraph" w:styleId="FirstParagraph" w:customStyle="true">
    <w:name w:val="First Paragraph"/>
    <w:basedOn w:val="Normal"/>
    <w:qFormat/>
    <w:pPr>
      <w:spacing w:before="0" w:after="0"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ListParagraph">
    <w:name w:val="List Paragraph"/>
    <w:basedOn w:val="Normal"/>
    <w:qFormat/>
    <w:pPr>
      <w:spacing w:before="0" w:after="69"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Heading1">
    <w:name w:val="Heading 1"/>
    <w:basedOn w:val="Normal"/>
    <w:next w:val="Normal"/>
    <w:qFormat/>
    <w:pPr>
      <w:keepNext/>
      <w:keepLines/>
      <w:pageBreakBefore w:val="true"/>
      <w:suppressAutoHyphens/>
      <w:spacing w:before="0" w:after="270" w:line="548" w:lineRule="atLeast"/>
      <w:ind w:left="0" w:right="0" w:firstLine="0"/>
      <w:jc w:val="left"/>
      <w:outlineLvl w:val="0"/>
    </w:pPr>
    <w:rPr>
      <w:rFonts w:ascii="Cormorant Garamond" w:hAnsi="Cormorant Garamond"/>
      <w:b w:val="true"/>
      <w:bCs w:val="true"/>
      <w:i w:val="false"/>
      <w:iCs w:val="false"/>
      <w:caps w:val="false"/>
      <w:color w:val="2B2218"/>
      <w:spacing w:val="4"/>
      <w:sz w:val="45"/>
      <w:szCs w:val="45"/>
    </w:rPr>
  </w:style>
  <w:style w:type="paragraph" w:styleId="Heading2">
    <w:name w:val="Heading 2"/>
    <w:basedOn w:val="Normal"/>
    <w:next w:val="Normal"/>
    <w:qFormat/>
    <w:pPr>
      <w:keepNext/>
      <w:keepLines/>
      <w:pageBreakBefore w:val="false"/>
      <w:suppressAutoHyphens/>
      <w:spacing w:before="683" w:after="198" w:line="438" w:lineRule="atLeast"/>
      <w:ind w:left="0" w:right="0" w:firstLine="0"/>
      <w:jc w:val="left"/>
      <w:outlineLvl w:val="1"/>
    </w:pPr>
    <w:rPr>
      <w:rFonts w:ascii="Cormorant Garamond" w:hAnsi="Cormorant Garamond"/>
      <w:b w:val="true"/>
      <w:bCs w:val="true"/>
      <w:i w:val="false"/>
      <w:iCs w:val="false"/>
      <w:caps w:val="false"/>
      <w:color w:val="2B2218"/>
      <w:spacing w:val="4"/>
      <w:sz w:val="36"/>
      <w:szCs w:val="36"/>
    </w:rPr>
  </w:style>
  <w:style w:type="paragraph" w:styleId="Heading3">
    <w:name w:val="Heading 3"/>
    <w:basedOn w:val="Normal"/>
    <w:next w:val="Normal"/>
    <w:qFormat/>
    <w:pPr>
      <w:keepNext/>
      <w:keepLines/>
      <w:pageBreakBefore w:val="false"/>
      <w:suppressAutoHyphens/>
      <w:spacing w:before="393" w:after="129" w:line="351" w:lineRule="atLeast"/>
      <w:ind w:left="0" w:right="0" w:firstLine="0"/>
      <w:jc w:val="left"/>
      <w:outlineLvl w:val="2"/>
    </w:pPr>
    <w:rPr>
      <w:rFonts w:ascii="Cormorant Garamond" w:hAnsi="Cormorant Garamond"/>
      <w:b w:val="true"/>
      <w:bCs w:val="true"/>
      <w:i w:val="false"/>
      <w:iCs w:val="false"/>
      <w:caps w:val="false"/>
      <w:color w:val="2B2218"/>
      <w:spacing w:val="3"/>
      <w:sz w:val="29"/>
      <w:szCs w:val="29"/>
    </w:rPr>
  </w:style>
  <w:style w:type="paragraph" w:styleId="Heading4">
    <w:name w:val="Heading 4"/>
    <w:basedOn w:val="Normal"/>
    <w:next w:val="Normal"/>
    <w:qFormat/>
    <w:pPr>
      <w:keepNext/>
      <w:keepLines/>
      <w:pageBreakBefore w:val="false"/>
      <w:suppressAutoHyphens/>
      <w:spacing w:before="294" w:after="90" w:line="314" w:lineRule="atLeast"/>
      <w:ind w:left="0" w:right="0" w:firstLine="0"/>
      <w:jc w:val="left"/>
      <w:outlineLvl w:val="3"/>
    </w:pPr>
    <w:rPr>
      <w:rFonts w:ascii="Cormorant Garamond" w:hAnsi="Cormorant Garamond"/>
      <w:b w:val="true"/>
      <w:bCs w:val="true"/>
      <w:i w:val="false"/>
      <w:iCs w:val="false"/>
      <w:caps w:val="false"/>
      <w:color w:val="2B2218"/>
      <w:spacing w:val="3"/>
      <w:sz w:val="26"/>
      <w:szCs w:val="26"/>
    </w:rPr>
  </w:style>
  <w:style w:type="paragraph" w:styleId="Heading5">
    <w:name w:val="Heading 5"/>
    <w:basedOn w:val="Normal"/>
    <w:next w:val="Normal"/>
    <w:qFormat/>
    <w:pPr>
      <w:keepNext/>
      <w:keepLines/>
      <w:pageBreakBefore w:val="false"/>
      <w:suppressAutoHyphens/>
      <w:spacing w:before="246" w:after="72" w:line="250" w:lineRule="atLeast"/>
      <w:ind w:left="0" w:right="0" w:firstLine="0"/>
      <w:jc w:val="left"/>
      <w:outlineLvl w:val="4"/>
    </w:pPr>
    <w:rPr>
      <w:rFonts w:ascii="EB Garamond" w:hAnsi="EB Garamond"/>
      <w:b w:val="true"/>
      <w:bCs w:val="true"/>
      <w:i w:val="false"/>
      <w:iCs w:val="false"/>
      <w:caps w:val="true"/>
      <w:color w:val="2B2218"/>
      <w:spacing w:val="41"/>
      <w:sz w:val="20"/>
      <w:szCs w:val="20"/>
    </w:rPr>
  </w:style>
  <w:style w:type="paragraph" w:styleId="Heading6">
    <w:name w:val="Heading 6"/>
    <w:basedOn w:val="Normal"/>
    <w:next w:val="Normal"/>
    <w:qFormat/>
    <w:pPr>
      <w:keepNext/>
      <w:keepLines/>
      <w:pageBreakBefore w:val="false"/>
      <w:suppressAutoHyphens/>
      <w:spacing w:before="246" w:after="72" w:line="250" w:lineRule="atLeast"/>
      <w:ind w:left="0" w:right="0" w:firstLine="0"/>
      <w:jc w:val="left"/>
      <w:outlineLvl w:val="5"/>
    </w:pPr>
    <w:rPr>
      <w:rFonts w:ascii="EB Garamond" w:hAnsi="EB Garamond"/>
      <w:b w:val="true"/>
      <w:bCs w:val="true"/>
      <w:i w:val="false"/>
      <w:iCs w:val="false"/>
      <w:caps w:val="true"/>
      <w:color w:val="2B2218"/>
      <w:spacing w:val="41"/>
      <w:sz w:val="20"/>
      <w:szCs w:val="20"/>
    </w:rPr>
  </w:style>
  <w:style w:type="paragraph" w:styleId="DocumentTitle" w:customStyle="true">
    <w:name w:val="Document Title"/>
    <w:basedOn w:val="Normal"/>
    <w:next w:val="Normal"/>
    <w:qFormat/>
    <w:pPr>
      <w:keepNext/>
      <w:keepLines/>
      <w:suppressAutoHyphens/>
      <w:spacing w:before="0" w:after="632" w:line="449" w:lineRule="atLeast"/>
      <w:ind w:left="0" w:right="0" w:firstLine="0"/>
      <w:jc w:val="left"/>
      <w:outlineLvl w:val="0"/>
    </w:pPr>
    <w:rPr>
      <w:rFonts w:ascii="Cormorant Garamond" w:hAnsi="Cormorant Garamond"/>
      <w:b w:val="false"/>
      <w:bCs w:val="false"/>
      <w:i w:val="true"/>
      <w:iCs w:val="true"/>
      <w:caps w:val="false"/>
      <w:color w:val="2B2218"/>
      <w:spacing w:val="17"/>
      <w:sz w:val="42"/>
      <w:szCs w:val="42"/>
    </w:rPr>
  </w:style>
  <w:style w:type="paragraph" w:styleId="TOCHeading">
    <w:name w:val="TOC Heading"/>
    <w:basedOn w:val="Normal"/>
    <w:qFormat/>
    <w:pPr>
      <w:keepNext/>
      <w:keepLines/>
      <w:suppressAutoHyphens/>
      <w:spacing w:before="0" w:after="395" w:line="438" w:lineRule="atLeast"/>
      <w:ind w:left="0" w:right="0" w:firstLine="0"/>
      <w:jc w:val="left"/>
    </w:pPr>
    <w:rPr>
      <w:rFonts w:ascii="Cormorant Garamond" w:hAnsi="Cormorant Garamond"/>
      <w:b w:val="true"/>
      <w:bCs w:val="true"/>
      <w:i w:val="false"/>
      <w:iCs w:val="false"/>
      <w:caps w:val="false"/>
      <w:color w:val="2B2218"/>
      <w:spacing w:val="4"/>
      <w:sz w:val="36"/>
      <w:szCs w:val="36"/>
    </w:rPr>
  </w:style>
  <w:style w:type="paragraph" w:styleId="TOC1">
    <w:name w:val="TOC 1"/>
    <w:basedOn w:val="Normal"/>
    <w:qFormat/>
    <w:pPr>
      <w:keepLines/>
      <w:suppressAutoHyphens/>
      <w:spacing w:before="74" w:after="74" w:line="311" w:lineRule="atLeast"/>
      <w:ind w:left="0" w:right="0" w:firstLine="0"/>
      <w:jc w:val="left"/>
    </w:pPr>
    <w:rPr>
      <w:rFonts w:ascii="Cormorant Garamond" w:hAnsi="Cormorant Garamond"/>
      <w:b w:val="true"/>
      <w:bCs w:val="true"/>
      <w:i w:val="false"/>
      <w:iCs w:val="false"/>
      <w:caps w:val="false"/>
      <w:color w:val="2B2218"/>
      <w:sz w:val="23"/>
      <w:szCs w:val="23"/>
    </w:rPr>
  </w:style>
  <w:style w:type="paragraph" w:styleId="TOC2">
    <w:name w:val="TOC 2"/>
    <w:basedOn w:val="Normal"/>
    <w:qFormat/>
    <w:pPr>
      <w:keepLines/>
      <w:suppressAutoHyphens/>
      <w:spacing w:before="74" w:after="74" w:line="311" w:lineRule="atLeast"/>
      <w:ind w:left="276" w:right="0" w:firstLine="0"/>
      <w:jc w:val="left"/>
    </w:pPr>
    <w:rPr>
      <w:rFonts w:ascii="EB Garamond" w:hAnsi="EB Garamond"/>
      <w:b w:val="false"/>
      <w:bCs w:val="false"/>
      <w:i w:val="false"/>
      <w:iCs w:val="false"/>
      <w:caps w:val="false"/>
      <w:color w:val="2B2218"/>
      <w:sz w:val="23"/>
      <w:szCs w:val="23"/>
    </w:rPr>
  </w:style>
  <w:style w:type="paragraph" w:styleId="TOC3">
    <w:name w:val="TOC 3"/>
    <w:basedOn w:val="Normal"/>
    <w:qFormat/>
    <w:pPr>
      <w:keepLines/>
      <w:suppressAutoHyphens/>
      <w:spacing w:before="74" w:after="74" w:line="276" w:lineRule="atLeast"/>
      <w:ind w:left="552" w:right="0" w:firstLine="0"/>
      <w:jc w:val="left"/>
    </w:pPr>
    <w:rPr>
      <w:rFonts w:ascii="EB Garamond" w:hAnsi="EB Garamond"/>
      <w:b w:val="false"/>
      <w:bCs w:val="false"/>
      <w:i w:val="false"/>
      <w:iCs w:val="false"/>
      <w:caps w:val="false"/>
      <w:color w:val="5F5243"/>
      <w:sz w:val="20"/>
      <w:szCs w:val="20"/>
    </w:rPr>
  </w:style>
  <w:style w:type="paragraph" w:styleId="Caption">
    <w:name w:val="Caption"/>
    <w:basedOn w:val="Normal"/>
    <w:qFormat/>
    <w:pPr>
      <w:suppressAutoHyphens/>
      <w:spacing w:before="113"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Attribution" w:customStyle="true">
    <w:name w:val="Attribution"/>
    <w:basedOn w:val="Normal"/>
    <w:qFormat/>
    <w:pPr>
      <w:spacing w:before="0" w:after="0" w:line="234" w:lineRule="atLeast"/>
      <w:ind w:left="0" w:right="0" w:firstLine="0"/>
      <w:jc w:val="center"/>
    </w:pPr>
    <w:rPr>
      <w:rFonts w:ascii="EB Garamond" w:hAnsi="EB Garamond"/>
      <w:b w:val="false"/>
      <w:bCs w:val="false"/>
      <w:i w:val="true"/>
      <w:iCs w:val="true"/>
      <w:caps w:val="false"/>
      <w:color w:val="5F5243"/>
      <w:sz w:val="18"/>
      <w:szCs w:val="18"/>
    </w:rPr>
  </w:style>
  <w:style w:type="paragraph" w:styleId="Quote">
    <w:name w:val="Quote"/>
    <w:basedOn w:val="Normal"/>
    <w:qFormat/>
    <w:pPr>
      <w:spacing w:before="265" w:after="0" w:line="345" w:lineRule="atLeast"/>
      <w:ind w:left="368" w:right="368" w:firstLine="0"/>
      <w:jc w:val="both"/>
    </w:pPr>
    <w:rPr>
      <w:rFonts w:ascii="EB Garamond" w:hAnsi="EB Garamond"/>
      <w:b w:val="false"/>
      <w:bCs w:val="false"/>
      <w:i w:val="true"/>
      <w:iCs w:val="true"/>
      <w:caps w:val="false"/>
      <w:color w:val="4A3D30"/>
      <w:sz w:val="23"/>
      <w:szCs w:val="23"/>
    </w:rPr>
  </w:style>
  <w:style w:type="paragraph" w:styleId="QuoteSource" w:customStyle="true">
    <w:name w:val="Quote Source"/>
    <w:basedOn w:val="Normal"/>
    <w:qFormat/>
    <w:pPr>
      <w:spacing w:before="265" w:after="0" w:line="345" w:lineRule="atLeast"/>
      <w:ind w:left="368" w:right="368" w:firstLine="0"/>
      <w:jc w:val="both"/>
    </w:pPr>
    <w:rPr>
      <w:rFonts w:ascii="EB Garamond" w:hAnsi="EB Garamond"/>
      <w:b w:val="false"/>
      <w:bCs w:val="false"/>
      <w:i w:val="false"/>
      <w:iCs w:val="false"/>
      <w:caps w:val="false"/>
      <w:color w:val="4A3D30"/>
      <w:sz w:val="20"/>
      <w:szCs w:val="20"/>
    </w:rPr>
  </w:style>
  <w:style w:type="paragraph" w:styleId="PullQuote" w:customStyle="true">
    <w:name w:val="Pull Quote"/>
    <w:basedOn w:val="Normal"/>
    <w:qFormat/>
    <w:pPr>
      <w:keepLines/>
      <w:pBdr>
        <w:top w:val="single" w:color="8B4513" w:sz="11" w:space="9"/>
        <w:bottom w:val="single" w:color="D8C9A8" w:sz="6" w:space="9"/>
      </w:pBdr>
      <w:spacing w:before="370" w:after="370" w:line="374" w:lineRule="atLeast"/>
      <w:ind w:left="0" w:right="0" w:firstLine="0"/>
      <w:jc w:val="left"/>
    </w:pPr>
    <w:rPr>
      <w:rFonts w:ascii="Cormorant Garamond" w:hAnsi="Cormorant Garamond"/>
      <w:b w:val="false"/>
      <w:bCs w:val="false"/>
      <w:i w:val="true"/>
      <w:iCs w:val="true"/>
      <w:caps w:val="false"/>
      <w:color w:val="2B2218"/>
      <w:sz w:val="29"/>
      <w:szCs w:val="29"/>
    </w:rPr>
  </w:style>
  <w:style w:type="paragraph" w:styleId="Callout" w:customStyle="true">
    <w:name w:val="Callout"/>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Tip" w:customStyle="true">
    <w:name w:val="Callout Tip"/>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Warning" w:customStyle="true">
    <w:name w:val="Callout Warning"/>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Note" w:customStyle="true">
    <w:name w:val="Callout Note"/>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Panel" w:customStyle="true">
    <w:name w:val="Panel"/>
    <w:basedOn w:val="Normal"/>
    <w:qFormat/>
    <w:pPr>
      <w:pBdr>
        <w:top w:val="single" w:color="F3ECDA" w:sz="2" w:space="10"/>
        <w:left w:val="single" w:color="4A3524" w:sz="24" w:space="12"/>
        <w:bottom w:val="single" w:color="F3ECDA" w:sz="2" w:space="10"/>
        <w:right w:val="single" w:color="F3ECDA" w:sz="2" w:space="12"/>
      </w:pBdr>
      <w:shd w:val="clear" w:color="auto" w:fill="F3ECDA"/>
      <w:spacing w:before="265" w:after="0" w:line="345" w:lineRule="atLeast"/>
      <w:ind w:left="302" w:right="246" w:firstLine="0"/>
      <w:jc w:val="left"/>
    </w:pPr>
    <w:rPr>
      <w:rFonts w:ascii="EB Garamond" w:hAnsi="EB Garamond"/>
      <w:b w:val="false"/>
      <w:bCs w:val="false"/>
      <w:i w:val="false"/>
      <w:iCs w:val="false"/>
      <w:caps w:val="false"/>
      <w:color w:val="2B2218"/>
      <w:sz w:val="23"/>
      <w:szCs w:val="23"/>
    </w:rPr>
  </w:style>
  <w:style w:type="paragraph" w:styleId="PanelTop" w:customStyle="true">
    <w:name w:val="Panel Top"/>
    <w:basedOn w:val="Normal"/>
    <w:qFormat/>
    <w:pPr>
      <w:pBdr>
        <w:top w:val="single" w:color="4A3524" w:sz="24"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ode" w:customStyle="true">
    <w:name w:val="Code"/>
    <w:basedOn w:val="Normal"/>
    <w:qFormat/>
    <w:pPr>
      <w:pBdr>
        <w:top w:val="single" w:color="D8C9A8" w:sz="6" w:space="9"/>
        <w:left w:val="single" w:color="D8C9A8" w:sz="6" w:space="10"/>
        <w:bottom w:val="single" w:color="D8C9A8" w:sz="6" w:space="9"/>
        <w:right w:val="single" w:color="D8C9A8" w:sz="6" w:space="10"/>
      </w:pBdr>
      <w:shd w:val="clear" w:color="auto" w:fill="F3ECDA"/>
      <w:suppressAutoHyphens/>
      <w:spacing w:before="235" w:after="235" w:line="307" w:lineRule="atLeast"/>
      <w:ind w:left="220" w:right="220" w:firstLine="0"/>
      <w:contextualSpacing/>
      <w:jc w:val="left"/>
    </w:pPr>
    <w:rPr>
      <w:rFonts w:ascii="IBM Plex Mono" w:hAnsi="IBM Plex Mono"/>
      <w:b w:val="false"/>
      <w:bCs w:val="false"/>
      <w:i w:val="false"/>
      <w:iCs w:val="false"/>
      <w:caps w:val="false"/>
      <w:color w:val="2B2218"/>
      <w:sz w:val="20"/>
      <w:szCs w:val="20"/>
    </w:rPr>
  </w:style>
  <w:style w:type="paragraph" w:styleId="TableText" w:customStyle="true">
    <w:name w:val="Table Text"/>
    <w:basedOn w:val="Normal"/>
    <w:qFormat/>
    <w:pPr>
      <w:spacing w:before="0" w:after="0" w:line="291" w:lineRule="atLeast"/>
      <w:ind w:left="0" w:right="0" w:firstLine="0"/>
      <w:jc w:val="left"/>
    </w:pPr>
    <w:rPr>
      <w:rFonts w:ascii="EB Garamond" w:hAnsi="EB Garamond"/>
      <w:b w:val="false"/>
      <w:bCs w:val="false"/>
      <w:i w:val="false"/>
      <w:iCs w:val="false"/>
      <w:caps w:val="false"/>
      <w:color w:val="2B2218"/>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Divider" w:customStyle="true">
    <w:name w:val="Divider"/>
    <w:basedOn w:val="Normal"/>
    <w:qFormat/>
    <w:pPr>
      <w:pBdr>
        <w:bottom w:val="single" w:color="D8C9A8" w:sz="6" w:space="0"/>
      </w:pBdr>
      <w:spacing w:before="437" w:after="437" w:line="20" w:lineRule="exact"/>
      <w:ind w:left="0" w:right="0" w:firstLine="0"/>
      <w:jc w:val="left"/>
    </w:pPr>
    <w:rPr>
      <w:rFonts w:ascii="EB Garamond" w:hAnsi="EB Garamond"/>
      <w:b w:val="false"/>
      <w:bCs w:val="false"/>
      <w:i w:val="false"/>
      <w:iCs w:val="false"/>
      <w:caps w:val="false"/>
      <w:color w:val="2B2218"/>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EB Garamond" w:hAnsi="EB Garamond"/>
      <w:b w:val="false"/>
      <w:bCs w:val="false"/>
      <w:i w:val="false"/>
      <w:iCs w:val="false"/>
      <w:caps w:val="false"/>
      <w:color w:val="8B4513"/>
      <w:sz w:val="26"/>
      <w:szCs w:val="26"/>
    </w:rPr>
  </w:style>
  <w:style w:type="paragraph" w:styleId="HeadingBar" w:customStyle="true">
    <w:name w:val="Heading Bar"/>
    <w:basedOn w:val="Normal"/>
    <w:qFormat/>
    <w:pPr>
      <w:keepNext/>
      <w:spacing w:before="0" w:after="0" w:line="20" w:lineRule="exact"/>
      <w:ind w:left="0" w:right="0" w:firstLine="0"/>
      <w:jc w:val="left"/>
    </w:pPr>
    <w:rPr>
      <w:rFonts w:ascii="EB Garamond" w:hAnsi="EB Garamond"/>
      <w:b w:val="false"/>
      <w:bCs w:val="false"/>
      <w:i w:val="false"/>
      <w:iCs w:val="false"/>
      <w:caps w:val="false"/>
      <w:color w:val="8B4513"/>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EB Garamond" w:hAnsi="EB Garamond"/>
      <w:b w:val="false"/>
      <w:bCs w:val="false"/>
      <w:i w:val="false"/>
      <w:iCs w:val="false"/>
      <w:caps w:val="true"/>
      <w:color w:val="7A3C10"/>
      <w:spacing w:val="33"/>
      <w:sz w:val="18"/>
      <w:szCs w:val="18"/>
    </w:rPr>
  </w:style>
  <w:style w:type="paragraph" w:styleId="ChapterTitle" w:customStyle="true">
    <w:name w:val="Chapter Title"/>
    <w:basedOn w:val="Normal"/>
    <w:next w:val="Normal"/>
    <w:qFormat/>
    <w:pPr>
      <w:keepNext/>
      <w:keepLines/>
      <w:suppressAutoHyphens/>
      <w:spacing w:before="0" w:after="368" w:line="414" w:lineRule="atLeast"/>
      <w:ind w:left="0" w:right="0" w:firstLine="0"/>
      <w:jc w:val="center"/>
      <w:outlineLvl w:val="0"/>
    </w:pPr>
    <w:rPr>
      <w:rFonts w:ascii="Cormorant Garamond" w:hAnsi="Cormorant Garamond"/>
      <w:b w:val="false"/>
      <w:bCs w:val="false"/>
      <w:i w:val="true"/>
      <w:iCs w:val="true"/>
      <w:caps w:val="false"/>
      <w:color w:val="2B2218"/>
      <w:spacing w:val="14"/>
      <w:sz w:val="36"/>
      <w:szCs w:val="36"/>
    </w:rPr>
  </w:style>
  <w:style w:type="paragraph" w:styleId="Title">
    <w:name w:val="Title"/>
    <w:basedOn w:val="Normal"/>
    <w:qFormat/>
    <w:pPr>
      <w:keepNext/>
      <w:suppressAutoHyphens/>
      <w:spacing w:before="0" w:after="0" w:line="484" w:lineRule="atLeast"/>
      <w:ind w:left="0" w:right="0" w:firstLine="0"/>
      <w:jc w:val="center"/>
    </w:pPr>
    <w:rPr>
      <w:rFonts w:ascii="Cormorant Garamond" w:hAnsi="Cormorant Garamond"/>
      <w:b w:val="false"/>
      <w:bCs w:val="false"/>
      <w:i w:val="true"/>
      <w:iCs w:val="true"/>
      <w:caps w:val="false"/>
      <w:color w:val="2B2218"/>
      <w:spacing w:val="18"/>
      <w:sz w:val="45"/>
      <w:szCs w:val="45"/>
    </w:rPr>
  </w:style>
  <w:style w:type="paragraph" w:styleId="Subtitle">
    <w:name w:val="Subtitle"/>
    <w:basedOn w:val="Normal"/>
    <w:qFormat/>
    <w:pPr>
      <w:keepNext/>
      <w:suppressAutoHyphens/>
      <w:spacing w:before="161" w:after="0" w:line="286" w:lineRule="atLeast"/>
      <w:ind w:left="0" w:right="0" w:firstLine="0"/>
      <w:jc w:val="center"/>
    </w:pPr>
    <w:rPr>
      <w:rFonts w:ascii="Cormorant Garamond" w:hAnsi="Cormorant Garamond"/>
      <w:b w:val="false"/>
      <w:bCs w:val="false"/>
      <w:i w:val="false"/>
      <w:iCs w:val="false"/>
      <w:caps w:val="false"/>
      <w:color w:val="2B2218"/>
      <w:sz w:val="22"/>
      <w:szCs w:val="22"/>
    </w:rPr>
  </w:style>
  <w:style w:type="paragraph" w:styleId="CoverDescription" w:customStyle="true">
    <w:name w:val="Cover Description"/>
    <w:basedOn w:val="Normal"/>
    <w:qFormat/>
    <w:pPr>
      <w:spacing w:before="322" w:after="0" w:line="345" w:lineRule="atLeast"/>
      <w:ind w:left="0" w:right="0" w:firstLine="0"/>
      <w:jc w:val="center"/>
    </w:pPr>
    <w:rPr>
      <w:rFonts w:ascii="EB Garamond" w:hAnsi="EB Garamond"/>
      <w:b w:val="false"/>
      <w:bCs w:val="false"/>
      <w:i w:val="false"/>
      <w:iCs w:val="false"/>
      <w:caps w:val="false"/>
      <w:color w:val="5F5243"/>
      <w:sz w:val="23"/>
      <w:szCs w:val="23"/>
    </w:rPr>
  </w:style>
  <w:style w:type="paragraph" w:styleId="CoverMeta" w:customStyle="true">
    <w:name w:val="Cover Meta"/>
    <w:basedOn w:val="Normal"/>
    <w:qFormat/>
    <w:pPr>
      <w:spacing w:before="161"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CoverRule" w:customStyle="true">
    <w:name w:val="Cover Rule"/>
    <w:basedOn w:val="Normal"/>
    <w:qFormat/>
    <w:pPr>
      <w:keepNext/>
      <w:spacing w:before="0" w:after="0" w:line="20" w:lineRule="exact"/>
      <w:ind w:left="0" w:right="0" w:firstLine="0"/>
      <w:jc w:val="center"/>
    </w:pPr>
    <w:rPr>
      <w:rFonts w:ascii="EB Garamond" w:hAnsi="EB Garamond"/>
      <w:b w:val="false"/>
      <w:bCs w:val="false"/>
      <w:i w:val="false"/>
      <w:iCs w:val="false"/>
      <w:caps w:val="false"/>
      <w:color w:val="8B4513"/>
      <w:sz w:val="2"/>
      <w:szCs w:val="2"/>
    </w:rPr>
  </w:style>
  <w:style w:type="paragraph" w:styleId="Header">
    <w:name w:val="Head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paragraph" w:styleId="Footer">
    <w:name w:val="Foot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character" w:styleId="InlineCode" w:customStyle="true">
    <w:name w:val="Inline Code"/>
    <w:basedOn w:val="DefaultParagraphFont"/>
    <w:uiPriority w:val="99"/>
    <w:unhideWhenUsed/>
    <w:rPr>
      <w:rFonts w:ascii="IBM Plex Mono" w:hAnsi="IBM Plex Mono"/>
      <w:color w:val="2B2218"/>
      <w:sz w:val="20"/>
      <w:szCs w:val="20"/>
      <w:shd w:val="clear" w:color="auto" w:fill="F3ECDA"/>
    </w:rPr>
  </w:style>
  <w:style w:type="character" w:styleId="Hyperlink">
    <w:name w:val="Hyperlink"/>
    <w:basedOn w:val="DefaultParagraphFont"/>
    <w:uiPriority w:val="99"/>
    <w:unhideWhenUsed/>
    <w:rPr>
      <w:color w:val="7A3C1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7c5e0811a1364899" /><Relationship Type="http://schemas.openxmlformats.org/officeDocument/2006/relationships/footer" Target="/word/footer1.xml" Id="R5a810aa54f0a47cd" /><Relationship Type="http://schemas.openxmlformats.org/officeDocument/2006/relationships/numbering" Target="/word/numbering.xml" Id="Re06371749d954fad" /><Relationship Type="http://schemas.openxmlformats.org/officeDocument/2006/relationships/fontTable" Target="/word/fontTable.xml" Id="R5cc6a60b71f54966" /><Relationship Type="http://schemas.openxmlformats.org/officeDocument/2006/relationships/settings" Target="/word/settings.xml" Id="R2a0125330e4442e4" /></Relationships>
</file>