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a0cb59a551247ed" /></Relationships>
</file>

<file path=word/document.xml><?xml version="1.0" encoding="utf-8"?>
<w:document xmlns:w="http://schemas.openxmlformats.org/wordprocessingml/2006/main">
  <w:body>
    <w:tbl>
      <w:tblPr>
        <w:tblW w:w="11906" w:type="dxa"/>
        <w:jc w:val="center"/>
        <w:tblInd w:w="0" w:type="dxa"/>
        <w:tblLayout w:type="fixed"/>
        <w:tblCellMar>
          <w:top w:w="0" w:type="dxa"/>
          <w:left w:w="0" w:type="dxa"/>
          <w:bottom w:w="0" w:type="dxa"/>
          <w:right w:w="0" w:type="dxa"/>
        </w:tblCellMar>
      </w:tblPr>
      <w:tblGrid>
        <w:gridCol w:w="11906"/>
      </w:tblGrid>
      <w:tr>
        <w:trPr>
          <w:cantSplit/>
          <w:trHeight w:val="5979" w:hRule="atLeast"/>
        </w:trPr>
        <w:tc>
          <w:tcPr>
            <w:tcW w:w="11906" w:type="dxa"/>
            <w:shd w:val="clear" w:color="auto" w:fill="0B2A5C"/>
            <w:tcMar>
              <w:top w:w="1440" w:type="dxa"/>
              <w:left w:w="1440" w:type="dxa"/>
              <w:bottom w:w="280" w:type="dxa"/>
              <w:right w:w="1440" w:type="dxa"/>
            </w:tcMar>
            <w:vAlign w:val="bottom"/>
          </w:tcPr>
          <w:p>
            <w:pPr>
              <w:pStyle w:val="Title"/>
              <w:jc w:val="left"/>
            </w:pPr>
            <w:r>
              <w:rPr>
                <w:lang w:val="en-US"/>
              </w:rPr>
              <w:t xml:space="preserve">Analyst dossier — Website showcase — Business Scenario &amp; Calculation Review (Northwind Regional Depots)</w:t>
            </w:r>
          </w:p>
          <w:p>
            <w:pPr>
              <w:pStyle w:val="CoverRule"/>
              <w:keepNext/>
              <w:pBdr>
                <w:bottom w:val="single" w:color="E8620C" w:sz="24" w:space="0"/>
              </w:pBdr>
              <w:spacing w:before="120" w:after="0" w:line="20" w:lineRule="exact"/>
              <w:ind w:left="0" w:right="8546" w:firstLine="0"/>
              <w:rPr>
                <w:sz w:val="2"/>
                <w:szCs w:val="2"/>
              </w:rPr>
            </w:pPr>
          </w:p>
        </w:tc>
      </w:tr>
      <w:tr>
        <w:trPr>
          <w:cantSplit/>
          <w:trHeight w:val="6239" w:hRule="atLeast"/>
        </w:trPr>
        <w:tc>
          <w:tcPr>
            <w:tcW w:w="11906" w:type="dxa"/>
            <w:tcMar>
              <w:top w:w="400" w:type="dxa"/>
              <w:left w:w="1440" w:type="dxa"/>
              <w:bottom w:w="0" w:type="dxa"/>
              <w:right w:w="1440" w:type="dxa"/>
            </w:tcMar>
            <w:vAlign w:val="top"/>
          </w:tcPr>
          <w:p>
            <w:pPr>
              <w:spacing w:before="0" w:after="0" w:line="20" w:lineRule="exact"/>
              <w:rPr>
                <w:sz w:val="2"/>
                <w:szCs w:val="2"/>
              </w:rPr>
            </w:pPr>
          </w:p>
        </w:tc>
      </w:tr>
      <w:tr>
        <w:trPr>
          <w:cantSplit/>
          <w:trHeight w:val="900" w:hRule="atLeast"/>
        </w:trPr>
        <w:tc>
          <w:tcPr>
            <w:tcW w:w="11906" w:type="dxa"/>
            <w:tcMar>
              <w:top w:w="0" w:type="dxa"/>
              <w:left w:w="1440" w:type="dxa"/>
              <w:bottom w:w="1440" w:type="dxa"/>
              <w:right w:w="1440" w:type="dxa"/>
            </w:tcMar>
            <w:vAlign w:val="bottom"/>
          </w:tcPr>
          <w:p>
            <w:pPr>
              <w:pStyle w:val="CoverMeta"/>
              <w:spacing w:before="0"/>
              <w:jc w:val="left"/>
            </w:pPr>
            <w:r>
              <w:rPr>
                <w:lang w:val="en-US"/>
              </w:rPr>
              <w:t xml:space="preserve">October 21,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pPr>
      <w:r>
        <w:rPr>
          <w:lang w:val="en-US"/>
        </w:rPr>
        <w:t xml:space="preserve">Executive Summary</w:t>
      </w:r>
    </w:p>
    <w:p>
      <w:pPr>
        <w:pStyle w:val="TOC1"/>
      </w:pPr>
      <w:r>
        <w:rPr>
          <w:lang w:val="en-US"/>
        </w:rPr>
        <w:t xml:space="preserve">Context &amp; Objectives</w:t>
      </w:r>
    </w:p>
    <w:p>
      <w:pPr>
        <w:pStyle w:val="TOC1"/>
      </w:pPr>
      <w:r>
        <w:rPr>
          <w:lang w:val="en-US"/>
        </w:rPr>
        <w:t xml:space="preserve">Facts &amp; Findings</w:t>
      </w:r>
    </w:p>
    <w:p>
      <w:pPr>
        <w:pStyle w:val="TOC2"/>
      </w:pPr>
      <w:r>
        <w:rPr>
          <w:lang w:val="en-US"/>
        </w:rPr>
        <w:t xml:space="preserve">Supplied Q3 baseline source figures</w:t>
      </w:r>
    </w:p>
    <w:p>
      <w:pPr>
        <w:pStyle w:val="TOC2"/>
      </w:pPr>
      <w:r>
        <w:rPr>
          <w:lang w:val="en-US"/>
        </w:rPr>
        <w:t xml:space="preserve">Deterministic baseline calculations</w:t>
      </w:r>
    </w:p>
    <w:p>
      <w:pPr>
        <w:pStyle w:val="TOC2"/>
      </w:pPr>
      <w:r>
        <w:rPr>
          <w:lang w:val="en-US"/>
        </w:rPr>
        <w:t xml:space="preserve">Telemetry scenario inputs and calculated outputs</w:t>
      </w:r>
    </w:p>
    <w:p>
      <w:pPr>
        <w:pStyle w:val="TOC1"/>
      </w:pPr>
      <w:r>
        <w:rPr>
          <w:lang w:val="en-US"/>
        </w:rPr>
        <w:t xml:space="preserve">Options &amp; Trade-offs</w:t>
      </w:r>
    </w:p>
    <w:p>
      <w:pPr>
        <w:pStyle w:val="TOC2"/>
      </w:pPr>
      <w:r>
        <w:rPr>
          <w:lang w:val="en-US"/>
        </w:rPr>
        <w:t xml:space="preserve">Option: retain the Q3 baseline operating model</w:t>
      </w:r>
    </w:p>
    <w:p>
      <w:pPr>
        <w:pStyle w:val="TOC2"/>
      </w:pPr>
      <w:r>
        <w:rPr>
          <w:lang w:val="en-US"/>
        </w:rPr>
        <w:t xml:space="preserve">Option: commit immediately to the three-hub telemetry scenario</w:t>
      </w:r>
    </w:p>
    <w:p>
      <w:pPr>
        <w:pStyle w:val="TOC2"/>
      </w:pPr>
      <w:r>
        <w:rPr>
          <w:lang w:val="en-US"/>
        </w:rPr>
        <w:t xml:space="preserve">Option: staged North Hub pilot</w:t>
      </w:r>
    </w:p>
    <w:p>
      <w:pPr>
        <w:pStyle w:val="TOC1"/>
      </w:pPr>
      <w:r>
        <w:rPr>
          <w:lang w:val="en-US"/>
        </w:rPr>
        <w:t xml:space="preserve">Financial &amp; Impact Analysis</w:t>
      </w:r>
    </w:p>
    <w:p>
      <w:pPr>
        <w:pStyle w:val="TOC1"/>
      </w:pPr>
      <w:r>
        <w:rPr>
          <w:lang w:val="en-US"/>
        </w:rPr>
        <w:t xml:space="preserve">Risks &amp; Mitigations</w:t>
      </w:r>
    </w:p>
    <w:p>
      <w:pPr>
        <w:pStyle w:val="TOC2"/>
      </w:pPr>
      <w:r>
        <w:rPr>
          <w:lang w:val="en-US"/>
        </w:rPr>
        <w:t xml:space="preserve">Central assumption risk</w:t>
      </w:r>
    </w:p>
    <w:p>
      <w:pPr>
        <w:pStyle w:val="TOC2"/>
      </w:pPr>
      <w:r>
        <w:rPr>
          <w:lang w:val="en-US"/>
        </w:rPr>
        <w:t xml:space="preserve">Rollout-cost risk</w:t>
      </w:r>
    </w:p>
    <w:p>
      <w:pPr>
        <w:pStyle w:val="TOC2"/>
      </w:pPr>
      <w:r>
        <w:rPr>
          <w:lang w:val="en-US"/>
        </w:rPr>
        <w:t xml:space="preserve">Measurement and scope risk</w:t>
      </w:r>
    </w:p>
    <w:p>
      <w:pPr>
        <w:pStyle w:val="TOC1"/>
      </w:pPr>
      <w:r>
        <w:rPr>
          <w:lang w:val="en-US"/>
        </w:rPr>
        <w:t xml:space="preserve">Recommendation &amp; Next Steps</w:t>
      </w:r>
    </w:p>
    <w:p>
      <w:pPr>
        <w:pStyle w:val="TOC1"/>
      </w:pPr>
      <w:r>
        <w:rPr>
          <w:lang w:val="en-US"/>
        </w:rPr>
        <w:t xml:space="preserve">Decisions &amp; Asks</w:t>
      </w:r>
    </w:p>
    <w:p>
      <w:pPr>
        <w:pStyle w:val="TOC1"/>
      </w:pPr>
      <w:r>
        <w:rPr>
          <w:lang w:val="en-US"/>
        </w:rPr>
        <w:t xml:space="preserve">Summary</w:t>
      </w:r>
    </w:p>
    <w:p>
      <w:pPr>
        <w:pStyle w:val="TOC1"/>
      </w:pPr>
      <w:r>
        <w:rPr>
          <w:lang w:val="en-US"/>
        </w:rPr>
        <w:t xml:space="preserve">Sources</w:t>
      </w:r>
    </w:p>
    <w:p>
      <w:pPr>
        <w:pStyle w:val="TOC1"/>
      </w:pPr>
      <w:r>
        <w:rPr>
          <w:lang w:val="en-US"/>
        </w:rPr>
        <w:t xml:space="preserve">Reproducible computation</w:t>
      </w:r>
    </w:p>
    <w:p>
      <w:pPr>
        <w:pStyle w:val="TOC2"/>
      </w:pPr>
      <w:r>
        <w:rPr>
          <w:lang w:val="en-US"/>
        </w:rPr>
        <w:t xml:space="preserve">Source inputs</w:t>
      </w:r>
    </w:p>
    <w:p>
      <w:pPr>
        <w:pStyle w:val="TOC2"/>
      </w:pPr>
      <w:r>
        <w:rPr>
          <w:lang w:val="en-US"/>
        </w:rPr>
        <w:t xml:space="preserve">Executed formulas</w:t>
      </w:r>
    </w:p>
    <w:p>
      <w:pPr>
        <w:pStyle w:val="TOC1"/>
      </w:pPr>
      <w:r>
        <w:rPr>
          <w:lang w:val="en-US"/>
        </w:rPr>
        <w:t xml:space="preserve">Faithfulness review</w:t>
      </w:r>
    </w:p>
    <w:p>
      <w:r>
        <w:br w:type="page"/>
      </w:r>
    </w:p>
    <w:p>
      <w:pPr>
        <w:pStyle w:val="Heading2"/>
        <w:outlineLvl w:val="1"/>
      </w:pPr>
      <w:r>
        <w:rPr>
          <w:lang w:val="en-US"/>
        </w:rPr>
        <w:t xml:space="preserve">Executive Summary</w:t>
      </w:r>
    </w:p>
    <w:p>
      <w:pPr>
        <w:pStyle w:val="Normal"/>
      </w:pPr>
      <w:r>
        <w:rPr>
          <w:b/>
          <w:lang w:val="en-US"/>
        </w:rPr>
        <w:t xml:space="preserve">Website showcase - Business Scenario &amp; Calculation Review (Northwind Regional Depots)</w:t>
      </w:r>
      <w:r>
        <w:rPr>
          <w:lang w:val="en-US"/>
        </w:rPr>
        <w:t xml:space="preserve"> assesses Q3 baseline depot contribution against a telemetry dispatch scenario. The supplied Q3 baseline covers North Hub, South Hub, and East Hub, with combined revenue of 1,120 USDk, operating cost of 840 USDk, and completed dispatches of 1,650. [1] The server-executed calculation ledger derives baseline_net_contribution of 280 USDk and baseline_margin_pct of 25 %. [1]</w:t>
      </w:r>
    </w:p>
    <w:p>
      <w:pPr>
        <w:pStyle w:val="Normal"/>
      </w:pPr>
      <w:r>
        <w:rPr>
          <w:lang w:val="en-US"/>
        </w:rPr>
        <w:t xml:space="preserve">The telemetry scenario holds revenue and completed-dispatch volumes constant, while applying an </w:t>
      </w:r>
      <w:r>
        <w:rPr>
          <w:b/>
          <w:lang w:val="en-US"/>
        </w:rPr>
        <w:t xml:space="preserve">untested management estimate</w:t>
      </w:r>
      <w:r>
        <w:rPr>
          <w:lang w:val="en-US"/>
        </w:rPr>
        <w:t xml:space="preserve"> of a 10% operating-cost reduction at every hub. This produces scenario operating cost of 756 USDk, an 84 USDk reduction from baseline, and scenario_net_contribution of 364 USDk. [1] After deducting the separate, untested assumed_rollout_capex of 45 USDk, the ledger calculates net_first_quarter_benefit of 39 USDk. [1]</w:t>
      </w:r>
    </w:p>
    <w:p>
      <w:pPr>
        <w:pStyle w:val="Normal"/>
      </w:pPr>
      <w:r>
        <w:rPr>
          <w:lang w:val="en-US"/>
        </w:rPr>
        <w:t xml:space="preserve">The arithmetic is reproducible, but the commercial outcome is conditional: neither the assumed 10% cost reduction nor the 45 USDk rollout cost is validated by operating evidence in the supplied materials. [1] The appropriate decision is therefore not a full three-hub commitment. A staged North Hub pilot should test whether dispatch-cost reduction is achievable in practice before committing the assumed 45 USDk rollout across all three hubs. [1]</w:t>
      </w:r>
    </w:p>
    <w:p>
      <w:pPr>
        <w:pStyle w:val="Normal"/>
      </w:pPr>
      <w:r>
        <w:rPr>
          <w:lang w:val="en-US"/>
        </w:rPr>
        <w:t xml:space="preserve">Note</w:t>
      </w:r>
    </w:p>
    <w:p>
      <w:pPr>
        <w:pStyle w:val="Normal"/>
      </w:pPr>
      <w:r>
        <w:rPr>
          <w:lang w:val="en-US"/>
        </w:rPr>
        <w:t xml:space="preserve">Decision framing: the baseline results are supplied Q3 figures; ledger outputs are deterministic calculations; the telemetry savings rate and rollout capex remain untested management assumptions. [1]</w:t>
      </w:r>
    </w:p>
    <w:p>
      <w:pPr>
        <w:pStyle w:val="Heading2"/>
        <w:outlineLvl w:val="1"/>
      </w:pPr>
      <w:r>
        <w:rPr>
          <w:lang w:val="en-US"/>
        </w:rPr>
        <w:t xml:space="preserve">Context &amp; Objectives</w:t>
      </w:r>
    </w:p>
    <w:p>
      <w:pPr>
        <w:pStyle w:val="Normal"/>
      </w:pPr>
      <w:r>
        <w:rPr>
          <w:lang w:val="en-US"/>
        </w:rPr>
        <w:t xml:space="preserve">This dossier reviews the financial comparison presented for Northwind Regional Depots in Q3. The supplied source data identifies three regional operating locations: North Hub, South Hub, and East Hub. For each hub, the source provides quarterly revenue, quarterly operating cost, and completed dispatches. [1] The review is limited to those Q3 values, the supplied telemetry scenario working table, and the deterministic computation ledger. No information is provided on prior periods, customer outcomes, service levels, implementation timing, financing, depreciation, tax, cash flow, or competitive conditions. [1]</w:t>
      </w:r>
    </w:p>
    <w:p>
      <w:pPr>
        <w:pStyle w:val="Normal"/>
      </w:pPr>
      <w:r>
        <w:rPr>
          <w:lang w:val="en-US"/>
        </w:rPr>
        <w:t xml:space="preserve">The primary objective is to distinguish clearly among three evidence categories. First, supplied source figures represent the recorded Q3 baseline inputs. Second, deterministic calculations represent formula outputs executed by the stated gixo-analyst-decimal-v1 engine using specified inputs. Third, scenario assumptions represent management estimates that have not been validated by the supplied evidence. [1]</w:t>
      </w:r>
    </w:p>
    <w:p>
      <w:pPr>
        <w:pStyle w:val="Normal"/>
      </w:pPr>
      <w:r>
        <w:rPr>
          <w:lang w:val="en-US"/>
        </w:rPr>
        <w:t xml:space="preserve">The baseline comparison asks what the three depots contributed in Q3 before telemetry dispatch changes. The scenario comparison asks what contribution would result if revenue remained at the supplied Q3 level and operating cost declined by the assumed 10% across all hubs. [1] The investment question is narrower still: whether the calculated savings would exceed the assumed one-time rollout cost in the first quarter. The ledger shows a positive calculated amount, but it does not establish that the inputs will occur. [1]</w:t>
      </w:r>
    </w:p>
    <w:p>
      <w:pPr>
        <w:pStyle w:val="Normal"/>
      </w:pPr>
      <w:r>
        <w:rPr>
          <w:lang w:val="en-US"/>
        </w:rPr>
        <w:t xml:space="preserve">Accordingly, this brief focuses on traceability, calculation review, risk containment, and a practical validation sequence rather than treating the scenario as an approved forecast or financial commitment.</w:t>
      </w:r>
    </w:p>
    <w:p>
      <w:pPr>
        <w:pStyle w:val="Heading2"/>
        <w:outlineLvl w:val="1"/>
      </w:pPr>
      <w:r>
        <w:rPr>
          <w:lang w:val="en-US"/>
        </w:rPr>
        <w:t xml:space="preserve">Facts &amp; Findings</w:t>
      </w:r>
    </w:p>
    <w:p>
      <w:pPr>
        <w:pStyle w:val="Heading3"/>
        <w:outlineLvl w:val="2"/>
      </w:pPr>
      <w:r>
        <w:rPr>
          <w:lang w:val="en-US"/>
        </w:rPr>
        <w:t xml:space="preserve">Supplied Q3 baseline source figures</w:t>
      </w:r>
    </w:p>
    <w:p>
      <w:pPr>
        <w:pStyle w:val="Normal"/>
      </w:pPr>
      <w:r>
        <w:rPr>
          <w:lang w:val="en-US"/>
        </w:rPr>
        <w:t xml:space="preserve">North Hub recorded Q3 revenue of 420 USDk, Q3 operating cost of 310 USDk, and 640 completed dispatches. South Hub recorded Q3 revenue of 360 USDk, Q3 operating cost of 275 USDk, and 520 completed dispatches. East Hub recorded Q3 revenue of 340 USDk, Q3 operating cost of 255 USDk, and 490 completed dispatches. These are the supplied source figures from the Q3 baseline data and should be treated as the factual operating baseline for this review. [1]</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2257"/>
        <w:gridCol w:w="2257"/>
        <w:gridCol w:w="2256"/>
        <w:gridCol w:w="2256"/>
      </w:tblGrid>
      <w:tr>
        <w:trPr>
          <w:cantSplit/>
          <w:tblHeader/>
        </w:trPr>
        <w:tc>
          <w:tcPr>
            <w:tcW w:w="2257" w:type="dxa"/>
            <w:shd w:val="clear" w:color="auto" w:fill="0B2A5C"/>
          </w:tcPr>
          <w:p>
            <w:pPr>
              <w:pStyle w:val="TableHeading"/>
              <w:spacing w:before="0" w:after="0" w:line="240" w:lineRule="auto"/>
              <w:ind w:left="0" w:right="0" w:firstLine="0"/>
              <w:jc w:val="left"/>
            </w:pPr>
            <w:r>
              <w:rPr>
                <w:b/>
                <w:lang w:val="en-US"/>
              </w:rPr>
              <w:t xml:space="preserve">Depot</w:t>
            </w:r>
          </w:p>
        </w:tc>
        <w:tc>
          <w:tcPr>
            <w:tcW w:w="2257" w:type="dxa"/>
            <w:shd w:val="clear" w:color="auto" w:fill="0B2A5C"/>
          </w:tcPr>
          <w:p>
            <w:pPr>
              <w:pStyle w:val="TableHeading"/>
              <w:spacing w:before="0" w:after="0" w:line="240" w:lineRule="auto"/>
              <w:ind w:left="0" w:right="0" w:firstLine="0"/>
              <w:jc w:val="left"/>
            </w:pPr>
            <w:r>
              <w:rPr>
                <w:b/>
                <w:lang w:val="en-US"/>
              </w:rPr>
              <w:t xml:space="preserve">Q3 revenue</w:t>
            </w:r>
          </w:p>
        </w:tc>
        <w:tc>
          <w:tcPr>
            <w:tcW w:w="2256" w:type="dxa"/>
            <w:shd w:val="clear" w:color="auto" w:fill="0B2A5C"/>
          </w:tcPr>
          <w:p>
            <w:pPr>
              <w:pStyle w:val="TableHeading"/>
              <w:spacing w:before="0" w:after="0" w:line="240" w:lineRule="auto"/>
              <w:ind w:left="0" w:right="0" w:firstLine="0"/>
              <w:jc w:val="left"/>
            </w:pPr>
            <w:r>
              <w:rPr>
                <w:b/>
                <w:lang w:val="en-US"/>
              </w:rPr>
              <w:t xml:space="preserve">Q3 operating cost</w:t>
            </w:r>
          </w:p>
        </w:tc>
        <w:tc>
          <w:tcPr>
            <w:tcW w:w="2256" w:type="dxa"/>
            <w:shd w:val="clear" w:color="auto" w:fill="0B2A5C"/>
          </w:tcPr>
          <w:p>
            <w:pPr>
              <w:pStyle w:val="TableHeading"/>
              <w:spacing w:before="0" w:after="0" w:line="240" w:lineRule="auto"/>
              <w:ind w:left="0" w:right="0" w:firstLine="0"/>
              <w:jc w:val="left"/>
            </w:pPr>
            <w:r>
              <w:rPr>
                <w:b/>
                <w:lang w:val="en-US"/>
              </w:rPr>
              <w:t xml:space="preserve">Completed dispatches</w:t>
            </w:r>
          </w:p>
        </w:tc>
      </w:tr>
      <w:tr>
        <w:trPr>
          <w:cantSplit/>
        </w:trPr>
        <w:tc>
          <w:tcPr>
            <w:tcW w:w="2257" w:type="dxa"/>
          </w:tcPr>
          <w:p>
            <w:pPr>
              <w:pStyle w:val="TableText"/>
              <w:spacing w:before="0" w:after="0" w:line="240" w:lineRule="auto"/>
              <w:ind w:left="0" w:right="0" w:firstLine="0"/>
              <w:jc w:val="left"/>
            </w:pPr>
            <w:r>
              <w:rPr>
                <w:lang w:val="en-US"/>
              </w:rPr>
              <w:t xml:space="preserve">North Hub</w:t>
            </w:r>
          </w:p>
        </w:tc>
        <w:tc>
          <w:tcPr>
            <w:tcW w:w="2257" w:type="dxa"/>
          </w:tcPr>
          <w:p>
            <w:pPr>
              <w:pStyle w:val="TableText"/>
              <w:spacing w:before="0" w:after="0" w:line="240" w:lineRule="auto"/>
              <w:ind w:left="0" w:right="0" w:firstLine="0"/>
              <w:jc w:val="left"/>
            </w:pPr>
            <w:r>
              <w:rPr>
                <w:lang w:val="en-US"/>
              </w:rPr>
              <w:t xml:space="preserve">420 USDk</w:t>
            </w:r>
          </w:p>
        </w:tc>
        <w:tc>
          <w:tcPr>
            <w:tcW w:w="2256" w:type="dxa"/>
          </w:tcPr>
          <w:p>
            <w:pPr>
              <w:pStyle w:val="TableText"/>
              <w:spacing w:before="0" w:after="0" w:line="240" w:lineRule="auto"/>
              <w:ind w:left="0" w:right="0" w:firstLine="0"/>
              <w:jc w:val="left"/>
            </w:pPr>
            <w:r>
              <w:rPr>
                <w:lang w:val="en-US"/>
              </w:rPr>
              <w:t xml:space="preserve">310 USDk</w:t>
            </w:r>
          </w:p>
        </w:tc>
        <w:tc>
          <w:tcPr>
            <w:tcW w:w="2256" w:type="dxa"/>
          </w:tcPr>
          <w:p>
            <w:pPr>
              <w:pStyle w:val="TableText"/>
              <w:spacing w:before="0" w:after="0" w:line="240" w:lineRule="auto"/>
              <w:ind w:left="0" w:right="0" w:firstLine="0"/>
              <w:jc w:val="left"/>
            </w:pPr>
            <w:r>
              <w:rPr>
                <w:lang w:val="en-US"/>
              </w:rPr>
              <w:t xml:space="preserve">640</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South Hub</w:t>
            </w:r>
          </w:p>
        </w:tc>
        <w:tc>
          <w:tcPr>
            <w:tcW w:w="2257" w:type="dxa"/>
            <w:shd w:val="clear" w:color="auto" w:fill="F4F7FB"/>
          </w:tcPr>
          <w:p>
            <w:pPr>
              <w:pStyle w:val="TableText"/>
              <w:spacing w:before="0" w:after="0" w:line="240" w:lineRule="auto"/>
              <w:ind w:left="0" w:right="0" w:firstLine="0"/>
              <w:jc w:val="left"/>
            </w:pPr>
            <w:r>
              <w:rPr>
                <w:lang w:val="en-US"/>
              </w:rPr>
              <w:t xml:space="preserve">360 USDk</w:t>
            </w:r>
          </w:p>
        </w:tc>
        <w:tc>
          <w:tcPr>
            <w:tcW w:w="2256" w:type="dxa"/>
            <w:shd w:val="clear" w:color="auto" w:fill="F4F7FB"/>
          </w:tcPr>
          <w:p>
            <w:pPr>
              <w:pStyle w:val="TableText"/>
              <w:spacing w:before="0" w:after="0" w:line="240" w:lineRule="auto"/>
              <w:ind w:left="0" w:right="0" w:firstLine="0"/>
              <w:jc w:val="left"/>
            </w:pPr>
            <w:r>
              <w:rPr>
                <w:lang w:val="en-US"/>
              </w:rPr>
              <w:t xml:space="preserve">275 USDk</w:t>
            </w:r>
          </w:p>
        </w:tc>
        <w:tc>
          <w:tcPr>
            <w:tcW w:w="2256" w:type="dxa"/>
            <w:shd w:val="clear" w:color="auto" w:fill="F4F7FB"/>
          </w:tcPr>
          <w:p>
            <w:pPr>
              <w:pStyle w:val="TableText"/>
              <w:spacing w:before="0" w:after="0" w:line="240" w:lineRule="auto"/>
              <w:ind w:left="0" w:right="0" w:firstLine="0"/>
              <w:jc w:val="left"/>
            </w:pPr>
            <w:r>
              <w:rPr>
                <w:lang w:val="en-US"/>
              </w:rPr>
              <w:t xml:space="preserve">520</w:t>
            </w:r>
          </w:p>
        </w:tc>
      </w:tr>
      <w:tr>
        <w:trPr>
          <w:cantSplit/>
        </w:trPr>
        <w:tc>
          <w:tcPr>
            <w:tcW w:w="2257" w:type="dxa"/>
          </w:tcPr>
          <w:p>
            <w:pPr>
              <w:pStyle w:val="TableText"/>
              <w:spacing w:before="0" w:after="0" w:line="240" w:lineRule="auto"/>
              <w:ind w:left="0" w:right="0" w:firstLine="0"/>
              <w:jc w:val="left"/>
            </w:pPr>
            <w:r>
              <w:rPr>
                <w:lang w:val="en-US"/>
              </w:rPr>
              <w:t xml:space="preserve">East Hub</w:t>
            </w:r>
          </w:p>
        </w:tc>
        <w:tc>
          <w:tcPr>
            <w:tcW w:w="2257" w:type="dxa"/>
          </w:tcPr>
          <w:p>
            <w:pPr>
              <w:pStyle w:val="TableText"/>
              <w:spacing w:before="0" w:after="0" w:line="240" w:lineRule="auto"/>
              <w:ind w:left="0" w:right="0" w:firstLine="0"/>
              <w:jc w:val="left"/>
            </w:pPr>
            <w:r>
              <w:rPr>
                <w:lang w:val="en-US"/>
              </w:rPr>
              <w:t xml:space="preserve">340 USDk</w:t>
            </w:r>
          </w:p>
        </w:tc>
        <w:tc>
          <w:tcPr>
            <w:tcW w:w="2256" w:type="dxa"/>
          </w:tcPr>
          <w:p>
            <w:pPr>
              <w:pStyle w:val="TableText"/>
              <w:spacing w:before="0" w:after="0" w:line="240" w:lineRule="auto"/>
              <w:ind w:left="0" w:right="0" w:firstLine="0"/>
              <w:jc w:val="left"/>
            </w:pPr>
            <w:r>
              <w:rPr>
                <w:lang w:val="en-US"/>
              </w:rPr>
              <w:t xml:space="preserve">255 USDk</w:t>
            </w:r>
          </w:p>
        </w:tc>
        <w:tc>
          <w:tcPr>
            <w:tcW w:w="2256" w:type="dxa"/>
          </w:tcPr>
          <w:p>
            <w:pPr>
              <w:pStyle w:val="TableText"/>
              <w:spacing w:before="0" w:after="0" w:line="240" w:lineRule="auto"/>
              <w:ind w:left="0" w:right="0" w:firstLine="0"/>
              <w:jc w:val="left"/>
            </w:pPr>
            <w:r>
              <w:rPr>
                <w:lang w:val="en-US"/>
              </w:rPr>
              <w:t xml:space="preserve">490</w:t>
            </w:r>
          </w:p>
        </w:tc>
      </w:tr>
    </w:tbl>
    <w:p>
      <w:pPr>
        <w:pStyle w:val="Normal"/>
      </w:pPr>
      <w:r>
        <w:rPr>
          <w:lang w:val="en-US"/>
        </w:rPr>
        <w:t xml:space="preserve">Source: supplied Q3 baseline table. [1]</w:t>
      </w:r>
    </w:p>
    <w:p>
      <w:pPr>
        <w:pStyle w:val="Caption"/>
        <w:jc w:val="center"/>
      </w:pPr>
      <w:r>
        <w:rPr>
          <w:lang w:val="en-US"/>
        </w:rPr>
        <w:t xml:space="preserve">Q3 supplied revenue and operating cost by depot, in USDk. [1]</w:t>
      </w:r>
    </w:p>
    <w:p>
      <w:pPr>
        <w:pStyle w:val="Normal"/>
      </w:pPr>
      <w:r>
        <w:rPr>
          <w:lang w:val="en-US"/>
        </w:rPr>
        <w:t xml:space="preserve"> </w:t>
      </w:r>
      <w:r>
        <w:rPr>
          <w:lang w:val="en-US"/>
        </w:rPr>
        <w:t xml:space="preserve">Bar chart</w:t>
      </w:r>
      <w:r>
        <w:rPr>
          <w:lang w:val="en-US"/>
        </w:rPr>
        <w:t xml:space="preserve"> </w:t>
      </w:r>
      <w:r>
        <w:rPr>
          <w:lang w:val="en-US"/>
        </w:rPr>
        <w:t xml:space="preserve">Generated bar chart visualization.</w:t>
      </w:r>
      <w:r>
        <w:rPr>
          <w:lang w:val="en-US"/>
        </w:rPr>
        <w:t xml:space="preserve"> </w:t>
      </w:r>
      <w:r>
        <w:rPr>
          <w:lang w:val="en-US"/>
        </w:rPr>
        <w:t xml:space="preserve"> </w:t>
      </w:r>
      <w:r>
        <w:rPr>
          <w:lang w:val="en-US"/>
        </w:rPr>
        <w:t xml:space="preserve"> </w:t>
      </w:r>
      <w:r>
        <w:rPr>
          <w:lang w:val="en-US"/>
        </w:rPr>
        <w:t xml:space="preserve"> </w:t>
      </w:r>
      <w:r>
        <w:rPr>
          <w:lang w:val="en-US"/>
        </w:rPr>
        <w:t xml:space="preserve">420</w:t>
      </w:r>
      <w:r>
        <w:rPr>
          <w:lang w:val="en-US"/>
        </w:rPr>
        <w:t xml:space="preserve"> </w:t>
      </w:r>
      <w:r>
        <w:rPr>
          <w:lang w:val="en-US"/>
        </w:rPr>
        <w:t xml:space="preserve"> </w:t>
      </w:r>
      <w:r>
        <w:rPr>
          <w:lang w:val="en-US"/>
        </w:rPr>
        <w:t xml:space="preserve">360</w:t>
      </w:r>
      <w:r>
        <w:rPr>
          <w:lang w:val="en-US"/>
        </w:rPr>
        <w:t xml:space="preserve"> </w:t>
      </w:r>
      <w:r>
        <w:rPr>
          <w:lang w:val="en-US"/>
        </w:rPr>
        <w:t xml:space="preserve"> </w:t>
      </w:r>
      <w:r>
        <w:rPr>
          <w:lang w:val="en-US"/>
        </w:rPr>
        <w:t xml:space="preserve">340</w:t>
      </w:r>
      <w:r>
        <w:rPr>
          <w:lang w:val="en-US"/>
        </w:rPr>
        <w:t xml:space="preserve"> </w:t>
      </w:r>
      <w:r>
        <w:rPr>
          <w:lang w:val="en-US"/>
        </w:rPr>
        <w:t xml:space="preserve">North Hub</w:t>
      </w:r>
      <w:r>
        <w:rPr>
          <w:lang w:val="en-US"/>
        </w:rPr>
        <w:t xml:space="preserve"> </w:t>
      </w:r>
      <w:r>
        <w:rPr>
          <w:lang w:val="en-US"/>
        </w:rPr>
        <w:t xml:space="preserve">South Hub</w:t>
      </w:r>
      <w:r>
        <w:rPr>
          <w:lang w:val="en-US"/>
        </w:rPr>
        <w:t xml:space="preserve"> </w:t>
      </w:r>
      <w:r>
        <w:rPr>
          <w:lang w:val="en-US"/>
        </w:rPr>
        <w:t xml:space="preserve">East Hub</w:t>
      </w:r>
      <w:r>
        <w:rPr>
          <w:lang w:val="en-US"/>
        </w:rPr>
        <w:t xml:space="preserve"> </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3009"/>
        <w:gridCol w:w="3009"/>
        <w:gridCol w:w="3008"/>
      </w:tblGrid>
      <w:tr>
        <w:trPr>
          <w:cantSplit/>
          <w:tblHeader/>
        </w:trPr>
        <w:tc>
          <w:tcPr>
            <w:tcW w:w="3009" w:type="dxa"/>
            <w:shd w:val="clear" w:color="auto" w:fill="0B2A5C"/>
          </w:tcPr>
          <w:p>
            <w:pPr>
              <w:pStyle w:val="TableHeading"/>
              <w:spacing w:before="0" w:after="0" w:line="240" w:lineRule="auto"/>
              <w:ind w:left="0" w:right="0" w:firstLine="0"/>
              <w:jc w:val="left"/>
            </w:pPr>
            <w:r>
              <w:rPr>
                <w:b/>
                <w:lang w:val="en-US"/>
              </w:rPr>
              <w:t xml:space="preserve">Depot</w:t>
            </w:r>
          </w:p>
        </w:tc>
        <w:tc>
          <w:tcPr>
            <w:tcW w:w="3009" w:type="dxa"/>
            <w:shd w:val="clear" w:color="auto" w:fill="0B2A5C"/>
          </w:tcPr>
          <w:p>
            <w:pPr>
              <w:pStyle w:val="TableHeading"/>
              <w:spacing w:before="0" w:after="0" w:line="240" w:lineRule="auto"/>
              <w:ind w:left="0" w:right="0" w:firstLine="0"/>
              <w:jc w:val="left"/>
            </w:pPr>
            <w:r>
              <w:rPr>
                <w:b/>
                <w:lang w:val="en-US"/>
              </w:rPr>
              <w:t xml:space="preserve">Q3 revenue USDk</w:t>
            </w:r>
          </w:p>
        </w:tc>
        <w:tc>
          <w:tcPr>
            <w:tcW w:w="3008" w:type="dxa"/>
            <w:shd w:val="clear" w:color="auto" w:fill="0B2A5C"/>
          </w:tcPr>
          <w:p>
            <w:pPr>
              <w:pStyle w:val="TableHeading"/>
              <w:spacing w:before="0" w:after="0" w:line="240" w:lineRule="auto"/>
              <w:ind w:left="0" w:right="0" w:firstLine="0"/>
              <w:jc w:val="left"/>
            </w:pPr>
            <w:r>
              <w:rPr>
                <w:b/>
                <w:lang w:val="en-US"/>
              </w:rPr>
              <w:t xml:space="preserve">Q3 operating cost USDk</w:t>
            </w:r>
          </w:p>
        </w:tc>
      </w:tr>
      <w:tr>
        <w:trPr>
          <w:cantSplit/>
        </w:trPr>
        <w:tc>
          <w:tcPr>
            <w:tcW w:w="3009" w:type="dxa"/>
          </w:tcPr>
          <w:p>
            <w:pPr>
              <w:pStyle w:val="TableText"/>
              <w:spacing w:before="0" w:after="0" w:line="240" w:lineRule="auto"/>
              <w:ind w:left="0" w:right="0" w:firstLine="0"/>
              <w:jc w:val="left"/>
            </w:pPr>
            <w:r>
              <w:rPr>
                <w:lang w:val="en-US"/>
              </w:rPr>
              <w:t xml:space="preserve">North Hub</w:t>
            </w:r>
          </w:p>
        </w:tc>
        <w:tc>
          <w:tcPr>
            <w:tcW w:w="3009" w:type="dxa"/>
          </w:tcPr>
          <w:p>
            <w:pPr>
              <w:pStyle w:val="TableText"/>
              <w:spacing w:before="0" w:after="0" w:line="240" w:lineRule="auto"/>
              <w:ind w:left="0" w:right="0" w:firstLine="0"/>
              <w:jc w:val="left"/>
            </w:pPr>
            <w:r>
              <w:rPr>
                <w:lang w:val="en-US"/>
              </w:rPr>
              <w:t xml:space="preserve">420</w:t>
            </w:r>
          </w:p>
        </w:tc>
        <w:tc>
          <w:tcPr>
            <w:tcW w:w="3008" w:type="dxa"/>
          </w:tcPr>
          <w:p>
            <w:pPr>
              <w:pStyle w:val="TableText"/>
              <w:spacing w:before="0" w:after="0" w:line="240" w:lineRule="auto"/>
              <w:ind w:left="0" w:right="0" w:firstLine="0"/>
              <w:jc w:val="left"/>
            </w:pPr>
            <w:r>
              <w:rPr>
                <w:lang w:val="en-US"/>
              </w:rPr>
              <w:t xml:space="preserve">310</w:t>
            </w:r>
          </w:p>
        </w:tc>
      </w:tr>
      <w:tr>
        <w:trPr>
          <w:cantSplit/>
        </w:trPr>
        <w:tc>
          <w:tcPr>
            <w:tcW w:w="3009" w:type="dxa"/>
            <w:shd w:val="clear" w:color="auto" w:fill="F4F7FB"/>
          </w:tcPr>
          <w:p>
            <w:pPr>
              <w:pStyle w:val="TableText"/>
              <w:spacing w:before="0" w:after="0" w:line="240" w:lineRule="auto"/>
              <w:ind w:left="0" w:right="0" w:firstLine="0"/>
              <w:jc w:val="left"/>
            </w:pPr>
            <w:r>
              <w:rPr>
                <w:lang w:val="en-US"/>
              </w:rPr>
              <w:t xml:space="preserve">South Hub</w:t>
            </w:r>
          </w:p>
        </w:tc>
        <w:tc>
          <w:tcPr>
            <w:tcW w:w="3009" w:type="dxa"/>
            <w:shd w:val="clear" w:color="auto" w:fill="F4F7FB"/>
          </w:tcPr>
          <w:p>
            <w:pPr>
              <w:pStyle w:val="TableText"/>
              <w:spacing w:before="0" w:after="0" w:line="240" w:lineRule="auto"/>
              <w:ind w:left="0" w:right="0" w:firstLine="0"/>
              <w:jc w:val="left"/>
            </w:pPr>
            <w:r>
              <w:rPr>
                <w:lang w:val="en-US"/>
              </w:rPr>
              <w:t xml:space="preserve">360</w:t>
            </w:r>
          </w:p>
        </w:tc>
        <w:tc>
          <w:tcPr>
            <w:tcW w:w="3008" w:type="dxa"/>
            <w:shd w:val="clear" w:color="auto" w:fill="F4F7FB"/>
          </w:tcPr>
          <w:p>
            <w:pPr>
              <w:pStyle w:val="TableText"/>
              <w:spacing w:before="0" w:after="0" w:line="240" w:lineRule="auto"/>
              <w:ind w:left="0" w:right="0" w:firstLine="0"/>
              <w:jc w:val="left"/>
            </w:pPr>
            <w:r>
              <w:rPr>
                <w:lang w:val="en-US"/>
              </w:rPr>
              <w:t xml:space="preserve">275</w:t>
            </w:r>
          </w:p>
        </w:tc>
      </w:tr>
      <w:tr>
        <w:trPr>
          <w:cantSplit/>
        </w:trPr>
        <w:tc>
          <w:tcPr>
            <w:tcW w:w="3009" w:type="dxa"/>
          </w:tcPr>
          <w:p>
            <w:pPr>
              <w:pStyle w:val="TableText"/>
              <w:spacing w:before="0" w:after="0" w:line="240" w:lineRule="auto"/>
              <w:ind w:left="0" w:right="0" w:firstLine="0"/>
              <w:jc w:val="left"/>
            </w:pPr>
            <w:r>
              <w:rPr>
                <w:lang w:val="en-US"/>
              </w:rPr>
              <w:t xml:space="preserve">East Hub</w:t>
            </w:r>
          </w:p>
        </w:tc>
        <w:tc>
          <w:tcPr>
            <w:tcW w:w="3009" w:type="dxa"/>
          </w:tcPr>
          <w:p>
            <w:pPr>
              <w:pStyle w:val="TableText"/>
              <w:spacing w:before="0" w:after="0" w:line="240" w:lineRule="auto"/>
              <w:ind w:left="0" w:right="0" w:firstLine="0"/>
              <w:jc w:val="left"/>
            </w:pPr>
            <w:r>
              <w:rPr>
                <w:lang w:val="en-US"/>
              </w:rPr>
              <w:t xml:space="preserve">340</w:t>
            </w:r>
          </w:p>
        </w:tc>
        <w:tc>
          <w:tcPr>
            <w:tcW w:w="3008" w:type="dxa"/>
          </w:tcPr>
          <w:p>
            <w:pPr>
              <w:pStyle w:val="TableText"/>
              <w:spacing w:before="0" w:after="0" w:line="240" w:lineRule="auto"/>
              <w:ind w:left="0" w:right="0" w:firstLine="0"/>
              <w:jc w:val="left"/>
            </w:pPr>
            <w:r>
              <w:rPr>
                <w:lang w:val="en-US"/>
              </w:rPr>
              <w:t xml:space="preserve">255</w:t>
            </w:r>
          </w:p>
        </w:tc>
      </w:tr>
    </w:tbl>
    <w:p>
      <w:pPr>
        <w:pStyle w:val="Heading3"/>
        <w:outlineLvl w:val="2"/>
      </w:pPr>
      <w:r>
        <w:rPr>
          <w:lang w:val="en-US"/>
        </w:rPr>
        <w:t xml:space="preserve">Deterministic baseline calculations</w:t>
      </w:r>
    </w:p>
    <w:p>
      <w:pPr>
        <w:pStyle w:val="Normal"/>
      </w:pPr>
      <w:r>
        <w:rPr>
          <w:lang w:val="en-US"/>
        </w:rPr>
        <w:t xml:space="preserve">The calculation ledger sums the three supplied revenue values to baseline_revenue of 1,120 USDk. It separately sums the three supplied operating-cost values to baseline_operating_cost of 840 USDk. [1] Using these inputs, the ledger executes the formula </w:t>
      </w:r>
      <w:r>
        <w:rPr>
          <w:b/>
          <w:lang w:val="en-US"/>
        </w:rPr>
        <w:t xml:space="preserve">baseline_net_contribution = baseline_revenue − baseline_operating_cost</w:t>
      </w:r>
      <w:r>
        <w:rPr>
          <w:lang w:val="en-US"/>
        </w:rPr>
        <w:t xml:space="preserve">, resulting in 280 USDk. [1] The ledger then executes </w:t>
      </w:r>
      <w:r>
        <w:rPr>
          <w:b/>
          <w:lang w:val="en-US"/>
        </w:rPr>
        <w:t xml:space="preserve">baseline_margin_pct = PERCENT(baseline_revenue − baseline_operating_cost, baseline_revenue)</w:t>
      </w:r>
      <w:r>
        <w:rPr>
          <w:lang w:val="en-US"/>
        </w:rPr>
        <w:t xml:space="preserve">, resulting in 25 %. [1]</w:t>
      </w:r>
    </w:p>
    <w:p>
      <w:pPr>
        <w:pStyle w:val="Normal"/>
      </w:pPr>
      <w:r>
        <w:rPr>
          <w:lang w:val="en-US"/>
        </w:rPr>
        <w:t xml:space="preserve">These are derived values rather than additional supplied source figures. They are nevertheless reproducible within the documented engine and ledger because their inputs and formulas are explicitly identified. [1]</w:t>
      </w:r>
    </w:p>
    <w:p>
      <w:pPr>
        <w:pStyle w:val="Normal"/>
      </w:pPr>
      <w:r>
        <w:rPr>
          <w:lang w:val="en-US"/>
        </w:rPr>
        <w:t xml:space="preserve">baseline_net_contribution: 280 USDk, calculated as baseline_revenue of 1,120 USDk less baseline_operating_cost of 840 USDk. [1]</w:t>
      </w:r>
    </w:p>
    <w:p>
      <w:pPr>
        <w:pStyle w:val="Normal"/>
      </w:pPr>
      <w:r>
        <w:rPr>
          <w:lang w:val="en-US"/>
        </w:rPr>
        <w:t xml:space="preserve">baseline_margin_pct: 25 %, calculated as 280 USDk divided by baseline_revenue of 1,120 USDk. [1]</w:t>
      </w:r>
    </w:p>
    <w:p>
      <w:pPr>
        <w:pStyle w:val="Heading3"/>
        <w:outlineLvl w:val="2"/>
      </w:pPr>
      <w:r>
        <w:rPr>
          <w:lang w:val="en-US"/>
        </w:rPr>
        <w:t xml:space="preserve">Telemetry scenario inputs and calculated outputs</w:t>
      </w:r>
    </w:p>
    <w:p>
      <w:pPr>
        <w:pStyle w:val="Normal"/>
      </w:pPr>
      <w:r>
        <w:rPr>
          <w:lang w:val="en-US"/>
        </w:rPr>
        <w:t xml:space="preserve">The telemetry scenario working table retains the baseline revenue and completed-dispatch figures but substitutes lower operating costs: 279 USDk for North Hub, 247.5 USDk for South Hub, and 229.5 USDk for East Hub. [1] Those amounts reflect an explicit management assumption of a 10% operating-cost reduction across all three hubs; they are not observed Q3 results. [1]</w:t>
      </w:r>
    </w:p>
    <w:p>
      <w:pPr>
        <w:pStyle w:val="Normal"/>
      </w:pPr>
      <w:r>
        <w:rPr>
          <w:lang w:val="en-US"/>
        </w:rPr>
        <w:t xml:space="preserve">The deterministic ledger sums the scenario operating-cost values to scenario_operating_cost of 756 USDk. Compared with baseline_operating_cost of 840 USDk, this is an 84 USDk variance. [1] The ledger executes </w:t>
      </w:r>
      <w:r>
        <w:rPr>
          <w:b/>
          <w:lang w:val="en-US"/>
        </w:rPr>
        <w:t xml:space="preserve">scenario_net_contribution = baseline_revenue − scenario_operating_cost</w:t>
      </w:r>
      <w:r>
        <w:rPr>
          <w:lang w:val="en-US"/>
        </w:rPr>
        <w:t xml:space="preserve">, resulting in 364 USDk. [1] It also executes </w:t>
      </w:r>
      <w:r>
        <w:rPr>
          <w:b/>
          <w:lang w:val="en-US"/>
        </w:rPr>
        <w:t xml:space="preserve">net_first_quarter_benefit = (baseline_operating_cost − scenario_operating_cost) − assumed_rollout_capex</w:t>
      </w:r>
      <w:r>
        <w:rPr>
          <w:lang w:val="en-US"/>
        </w:rPr>
        <w:t xml:space="preserve">, resulting in 39 USDk, using the separate assumed_rollout_capex input of 45 USDk. [1]</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2257"/>
        <w:gridCol w:w="2257"/>
        <w:gridCol w:w="2256"/>
        <w:gridCol w:w="2256"/>
      </w:tblGrid>
      <w:tr>
        <w:trPr>
          <w:cantSplit/>
          <w:tblHeader/>
        </w:trPr>
        <w:tc>
          <w:tcPr>
            <w:tcW w:w="2257" w:type="dxa"/>
            <w:shd w:val="clear" w:color="auto" w:fill="0B2A5C"/>
          </w:tcPr>
          <w:p>
            <w:pPr>
              <w:pStyle w:val="TableHeading"/>
              <w:spacing w:before="0" w:after="0" w:line="240" w:lineRule="auto"/>
              <w:ind w:left="0" w:right="0" w:firstLine="0"/>
              <w:jc w:val="left"/>
            </w:pPr>
            <w:r>
              <w:rPr>
                <w:b/>
                <w:lang w:val="en-US"/>
              </w:rPr>
              <w:t xml:space="preserve">Measure</w:t>
            </w:r>
          </w:p>
        </w:tc>
        <w:tc>
          <w:tcPr>
            <w:tcW w:w="2257" w:type="dxa"/>
            <w:shd w:val="clear" w:color="auto" w:fill="0B2A5C"/>
          </w:tcPr>
          <w:p>
            <w:pPr>
              <w:pStyle w:val="TableHeading"/>
              <w:spacing w:before="0" w:after="0" w:line="240" w:lineRule="auto"/>
              <w:ind w:left="0" w:right="0" w:firstLine="0"/>
              <w:jc w:val="left"/>
            </w:pPr>
            <w:r>
              <w:rPr>
                <w:b/>
                <w:lang w:val="en-US"/>
              </w:rPr>
              <w:t xml:space="preserve">Baseline</w:t>
            </w:r>
          </w:p>
        </w:tc>
        <w:tc>
          <w:tcPr>
            <w:tcW w:w="2256" w:type="dxa"/>
            <w:shd w:val="clear" w:color="auto" w:fill="0B2A5C"/>
          </w:tcPr>
          <w:p>
            <w:pPr>
              <w:pStyle w:val="TableHeading"/>
              <w:spacing w:before="0" w:after="0" w:line="240" w:lineRule="auto"/>
              <w:ind w:left="0" w:right="0" w:firstLine="0"/>
              <w:jc w:val="left"/>
            </w:pPr>
            <w:r>
              <w:rPr>
                <w:b/>
                <w:lang w:val="en-US"/>
              </w:rPr>
              <w:t xml:space="preserve">Telemetry scenario</w:t>
            </w:r>
          </w:p>
        </w:tc>
        <w:tc>
          <w:tcPr>
            <w:tcW w:w="2256" w:type="dxa"/>
            <w:shd w:val="clear" w:color="auto" w:fill="0B2A5C"/>
          </w:tcPr>
          <w:p>
            <w:pPr>
              <w:pStyle w:val="TableHeading"/>
              <w:spacing w:before="0" w:after="0" w:line="240" w:lineRule="auto"/>
              <w:ind w:left="0" w:right="0" w:firstLine="0"/>
              <w:jc w:val="left"/>
            </w:pPr>
            <w:r>
              <w:rPr>
                <w:b/>
                <w:lang w:val="en-US"/>
              </w:rPr>
              <w:t xml:space="preserve">Evidence status</w:t>
            </w:r>
          </w:p>
        </w:tc>
      </w:tr>
      <w:tr>
        <w:trPr>
          <w:cantSplit/>
        </w:trPr>
        <w:tc>
          <w:tcPr>
            <w:tcW w:w="2257" w:type="dxa"/>
          </w:tcPr>
          <w:p>
            <w:pPr>
              <w:pStyle w:val="TableText"/>
              <w:spacing w:before="0" w:after="0" w:line="240" w:lineRule="auto"/>
              <w:ind w:left="0" w:right="0" w:firstLine="0"/>
              <w:jc w:val="left"/>
            </w:pPr>
            <w:r>
              <w:rPr>
                <w:lang w:val="en-US"/>
              </w:rPr>
              <w:t xml:space="preserve">Total revenue</w:t>
            </w:r>
          </w:p>
        </w:tc>
        <w:tc>
          <w:tcPr>
            <w:tcW w:w="2257" w:type="dxa"/>
          </w:tcPr>
          <w:p>
            <w:pPr>
              <w:pStyle w:val="TableText"/>
              <w:spacing w:before="0" w:after="0" w:line="240" w:lineRule="auto"/>
              <w:ind w:left="0" w:right="0" w:firstLine="0"/>
              <w:jc w:val="left"/>
            </w:pPr>
            <w:r>
              <w:rPr>
                <w:lang w:val="en-US"/>
              </w:rPr>
              <w:t xml:space="preserve">1,120 USDk</w:t>
            </w:r>
          </w:p>
        </w:tc>
        <w:tc>
          <w:tcPr>
            <w:tcW w:w="2256" w:type="dxa"/>
          </w:tcPr>
          <w:p>
            <w:pPr>
              <w:pStyle w:val="TableText"/>
              <w:spacing w:before="0" w:after="0" w:line="240" w:lineRule="auto"/>
              <w:ind w:left="0" w:right="0" w:firstLine="0"/>
              <w:jc w:val="left"/>
            </w:pPr>
            <w:r>
              <w:rPr>
                <w:lang w:val="en-US"/>
              </w:rPr>
              <w:t xml:space="preserve">1,120 USDk</w:t>
            </w:r>
          </w:p>
        </w:tc>
        <w:tc>
          <w:tcPr>
            <w:tcW w:w="2256" w:type="dxa"/>
          </w:tcPr>
          <w:p>
            <w:pPr>
              <w:pStyle w:val="TableText"/>
              <w:spacing w:before="0" w:after="0" w:line="240" w:lineRule="auto"/>
              <w:ind w:left="0" w:right="0" w:firstLine="0"/>
              <w:jc w:val="left"/>
            </w:pPr>
            <w:r>
              <w:rPr>
                <w:lang w:val="en-US"/>
              </w:rPr>
              <w:t xml:space="preserve">Supplied Q3 figure retained in scenario [1]</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Total operating cost</w:t>
            </w:r>
          </w:p>
        </w:tc>
        <w:tc>
          <w:tcPr>
            <w:tcW w:w="2257" w:type="dxa"/>
            <w:shd w:val="clear" w:color="auto" w:fill="F4F7FB"/>
          </w:tcPr>
          <w:p>
            <w:pPr>
              <w:pStyle w:val="TableText"/>
              <w:spacing w:before="0" w:after="0" w:line="240" w:lineRule="auto"/>
              <w:ind w:left="0" w:right="0" w:firstLine="0"/>
              <w:jc w:val="left"/>
            </w:pPr>
            <w:r>
              <w:rPr>
                <w:lang w:val="en-US"/>
              </w:rPr>
              <w:t xml:space="preserve">840 USDk</w:t>
            </w:r>
          </w:p>
        </w:tc>
        <w:tc>
          <w:tcPr>
            <w:tcW w:w="2256" w:type="dxa"/>
            <w:shd w:val="clear" w:color="auto" w:fill="F4F7FB"/>
          </w:tcPr>
          <w:p>
            <w:pPr>
              <w:pStyle w:val="TableText"/>
              <w:spacing w:before="0" w:after="0" w:line="240" w:lineRule="auto"/>
              <w:ind w:left="0" w:right="0" w:firstLine="0"/>
              <w:jc w:val="left"/>
            </w:pPr>
            <w:r>
              <w:rPr>
                <w:lang w:val="en-US"/>
              </w:rPr>
              <w:t xml:space="preserve">756 USDk</w:t>
            </w:r>
          </w:p>
        </w:tc>
        <w:tc>
          <w:tcPr>
            <w:tcW w:w="2256" w:type="dxa"/>
            <w:shd w:val="clear" w:color="auto" w:fill="F4F7FB"/>
          </w:tcPr>
          <w:p>
            <w:pPr>
              <w:pStyle w:val="TableText"/>
              <w:spacing w:before="0" w:after="0" w:line="240" w:lineRule="auto"/>
              <w:ind w:left="0" w:right="0" w:firstLine="0"/>
              <w:jc w:val="left"/>
            </w:pPr>
            <w:r>
              <w:rPr>
                <w:lang w:val="en-US"/>
              </w:rPr>
              <w:t xml:space="preserve">Baseline supplied; scenario depends on untested 10% assumption [1]</w:t>
            </w:r>
          </w:p>
        </w:tc>
      </w:tr>
      <w:tr>
        <w:trPr>
          <w:cantSplit/>
        </w:trPr>
        <w:tc>
          <w:tcPr>
            <w:tcW w:w="2257" w:type="dxa"/>
          </w:tcPr>
          <w:p>
            <w:pPr>
              <w:pStyle w:val="TableText"/>
              <w:spacing w:before="0" w:after="0" w:line="240" w:lineRule="auto"/>
              <w:ind w:left="0" w:right="0" w:firstLine="0"/>
              <w:jc w:val="left"/>
            </w:pPr>
            <w:r>
              <w:rPr>
                <w:lang w:val="en-US"/>
              </w:rPr>
              <w:t xml:space="preserve">Net contribution</w:t>
            </w:r>
          </w:p>
        </w:tc>
        <w:tc>
          <w:tcPr>
            <w:tcW w:w="2257" w:type="dxa"/>
          </w:tcPr>
          <w:p>
            <w:pPr>
              <w:pStyle w:val="TableText"/>
              <w:spacing w:before="0" w:after="0" w:line="240" w:lineRule="auto"/>
              <w:ind w:left="0" w:right="0" w:firstLine="0"/>
              <w:jc w:val="left"/>
            </w:pPr>
            <w:r>
              <w:rPr>
                <w:lang w:val="en-US"/>
              </w:rPr>
              <w:t xml:space="preserve">280 USDk</w:t>
            </w:r>
          </w:p>
        </w:tc>
        <w:tc>
          <w:tcPr>
            <w:tcW w:w="2256" w:type="dxa"/>
          </w:tcPr>
          <w:p>
            <w:pPr>
              <w:pStyle w:val="TableText"/>
              <w:spacing w:before="0" w:after="0" w:line="240" w:lineRule="auto"/>
              <w:ind w:left="0" w:right="0" w:firstLine="0"/>
              <w:jc w:val="left"/>
            </w:pPr>
            <w:r>
              <w:rPr>
                <w:lang w:val="en-US"/>
              </w:rPr>
              <w:t xml:space="preserve">364 USDk</w:t>
            </w:r>
          </w:p>
        </w:tc>
        <w:tc>
          <w:tcPr>
            <w:tcW w:w="2256" w:type="dxa"/>
          </w:tcPr>
          <w:p>
            <w:pPr>
              <w:pStyle w:val="TableText"/>
              <w:spacing w:before="0" w:after="0" w:line="240" w:lineRule="auto"/>
              <w:ind w:left="0" w:right="0" w:firstLine="0"/>
              <w:jc w:val="left"/>
            </w:pPr>
            <w:r>
              <w:rPr>
                <w:lang w:val="en-US"/>
              </w:rPr>
              <w:t xml:space="preserve">Deterministic calculation [1]</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First-quarter benefit after rollout cost</w:t>
            </w:r>
          </w:p>
        </w:tc>
        <w:tc>
          <w:tcPr>
            <w:tcW w:w="2257" w:type="dxa"/>
            <w:shd w:val="clear" w:color="auto" w:fill="F4F7FB"/>
          </w:tcPr>
          <w:p>
            <w:pPr>
              <w:pStyle w:val="TableText"/>
              <w:spacing w:before="0" w:after="0" w:line="240" w:lineRule="auto"/>
              <w:ind w:left="0" w:right="0" w:firstLine="0"/>
              <w:jc w:val="left"/>
            </w:pPr>
            <w:r>
              <w:rPr>
                <w:lang w:val="en-US"/>
              </w:rPr>
              <w:t xml:space="preserve">Not applicable</w:t>
            </w:r>
          </w:p>
        </w:tc>
        <w:tc>
          <w:tcPr>
            <w:tcW w:w="2256" w:type="dxa"/>
            <w:shd w:val="clear" w:color="auto" w:fill="F4F7FB"/>
          </w:tcPr>
          <w:p>
            <w:pPr>
              <w:pStyle w:val="TableText"/>
              <w:spacing w:before="0" w:after="0" w:line="240" w:lineRule="auto"/>
              <w:ind w:left="0" w:right="0" w:firstLine="0"/>
              <w:jc w:val="left"/>
            </w:pPr>
            <w:r>
              <w:rPr>
                <w:lang w:val="en-US"/>
              </w:rPr>
              <w:t xml:space="preserve">39 USDk</w:t>
            </w:r>
          </w:p>
        </w:tc>
        <w:tc>
          <w:tcPr>
            <w:tcW w:w="2256" w:type="dxa"/>
            <w:shd w:val="clear" w:color="auto" w:fill="F4F7FB"/>
          </w:tcPr>
          <w:p>
            <w:pPr>
              <w:pStyle w:val="TableText"/>
              <w:spacing w:before="0" w:after="0" w:line="240" w:lineRule="auto"/>
              <w:ind w:left="0" w:right="0" w:firstLine="0"/>
              <w:jc w:val="left"/>
            </w:pPr>
            <w:r>
              <w:rPr>
                <w:lang w:val="en-US"/>
              </w:rPr>
              <w:t xml:space="preserve">Deterministic calculation using untested 45 USDk assumption [1]</w:t>
            </w:r>
          </w:p>
        </w:tc>
      </w:tr>
    </w:tbl>
    <w:p>
      <w:pPr>
        <w:pStyle w:val="Heading2"/>
        <w:outlineLvl w:val="1"/>
      </w:pPr>
      <w:r>
        <w:rPr>
          <w:lang w:val="en-US"/>
        </w:rPr>
        <w:t xml:space="preserve">Options &amp; Trade-offs</w:t>
      </w:r>
    </w:p>
    <w:p>
      <w:pPr>
        <w:pStyle w:val="Heading3"/>
        <w:outlineLvl w:val="2"/>
      </w:pPr>
      <w:r>
        <w:rPr>
          <w:lang w:val="en-US"/>
        </w:rPr>
        <w:t xml:space="preserve">Option: retain the Q3 baseline operating model</w:t>
      </w:r>
    </w:p>
    <w:p>
      <w:pPr>
        <w:pStyle w:val="Normal"/>
      </w:pPr>
      <w:r>
        <w:rPr>
          <w:lang w:val="en-US"/>
        </w:rPr>
        <w:t xml:space="preserve">Retaining the baseline provides the clearest evidence position because it relies on supplied Q3 figures: 1,120 USDk revenue, 840 USDk operating cost, 280 USDk net contribution, and a 25 % operating margin. [1] This option does not rely on the assumed 10% reduction or the assumed 45 USDk rollout capex. However, it does not test the telemetry dispatch proposition and therefore provides no direct evidence about whether dispatch operations could achieve the modeled cost reduction. [1]</w:t>
      </w:r>
    </w:p>
    <w:p>
      <w:pPr>
        <w:pStyle w:val="Heading3"/>
        <w:outlineLvl w:val="2"/>
      </w:pPr>
      <w:r>
        <w:rPr>
          <w:lang w:val="en-US"/>
        </w:rPr>
        <w:t xml:space="preserve">Option: commit immediately to the three-hub telemetry scenario</w:t>
      </w:r>
    </w:p>
    <w:p>
      <w:pPr>
        <w:pStyle w:val="Normal"/>
      </w:pPr>
      <w:r>
        <w:rPr>
          <w:lang w:val="en-US"/>
        </w:rPr>
        <w:t xml:space="preserve">A full deployment aligns mechanically with the scenario table. If the assumed 10% operating-cost reduction holds across North Hub, South Hub, and East Hub, scenario operating cost would be 756 USDk and scenario_net_contribution would be 364 USDk. [1] The scenario therefore calculates an 84 USDk contribution improvement before rollout cost and net_first_quarter_benefit of 39 USDk after the assumed 45 USDk cost. [1]</w:t>
      </w:r>
    </w:p>
    <w:p>
      <w:pPr>
        <w:pStyle w:val="Normal"/>
      </w:pPr>
      <w:r>
        <w:rPr>
          <w:lang w:val="en-US"/>
        </w:rPr>
        <w:t xml:space="preserve">The trade-off is evidentiary rather than arithmetic. The source expressly identifies both the 10% reduction and the 45 USDk rollout cost as untested management estimates. [1] An immediate commitment would therefore expose the full three-hub decision to assumptions that have not yet been validated in practice.</w:t>
      </w:r>
    </w:p>
    <w:p>
      <w:pPr>
        <w:pStyle w:val="Heading3"/>
        <w:outlineLvl w:val="2"/>
      </w:pPr>
      <w:r>
        <w:rPr>
          <w:lang w:val="en-US"/>
        </w:rPr>
        <w:t xml:space="preserve">Option: staged North Hub pilot</w:t>
      </w:r>
    </w:p>
    <w:p>
      <w:pPr>
        <w:pStyle w:val="Normal"/>
      </w:pPr>
      <w:r>
        <w:rPr>
          <w:lang w:val="en-US"/>
        </w:rPr>
        <w:t xml:space="preserve">A North Hub pilot is the recommended option in the supplied materials. North Hub has supplied Q3 revenue of 420 USDk, operating cost of 310 USDk, and 640 completed dispatches. [1] Applying the stated 10% assumption mechanically would produce modeled North Hub operating cost of 279 USDk, a 31 USDk difference from baseline. [1] This amount is a scenario calculation based on the untested assumption, not a forecast validated by observed pilot results.</w:t>
      </w:r>
    </w:p>
    <w:p>
      <w:pPr>
        <w:pStyle w:val="Normal"/>
      </w:pPr>
      <w:r>
        <w:rPr>
          <w:lang w:val="en-US"/>
        </w:rPr>
        <w:t xml:space="preserve">The principal benefit of a staged pilot is that it can test whether the assumed dispatch-cost reduction holds before a full three-hub rollout. [1] The source does not provide a pilot budget, pilot duration, success threshold, implementation plan, or allocation of the 45 USDk capex between pilot and full rollout. Those items require verification before an investment authorization is finalized.</w:t>
      </w:r>
    </w:p>
    <w:p>
      <w:pPr>
        <w:pStyle w:val="Normal"/>
      </w:pPr>
      <w:r>
        <w:rPr>
          <w:lang w:val="en-US"/>
        </w:rPr>
        <w:t xml:space="preserve">Full rollout offers the modeled 84 USDk operating-cost reduction but relies on untested assumptions; a North Hub pilot reduces commitment scope while validating the central 10% cost-reduction assumption. [1]</w:t>
      </w:r>
    </w:p>
    <w:p>
      <w:pPr>
        <w:pStyle w:val="Heading2"/>
        <w:outlineLvl w:val="1"/>
      </w:pPr>
      <w:r>
        <w:rPr>
          <w:lang w:val="en-US"/>
        </w:rPr>
        <w:t xml:space="preserve">Financial &amp; Impact Analysis</w:t>
      </w:r>
    </w:p>
    <w:p>
      <w:pPr>
        <w:pStyle w:val="Normal"/>
      </w:pPr>
      <w:r>
        <w:rPr>
          <w:lang w:val="en-US"/>
        </w:rPr>
        <w:t xml:space="preserve">The baseline financial position is based on supplied Q3 data and deterministic calculation. Revenue totals 1,120 USDk from North Hub at 420 USDk, South Hub at 360 USDk, and East Hub at 340 USDk. [1] Operating cost totals 840 USDk from 310 USDk, 275 USDk, and 255 USDk respectively. [1] The ledger's baseline_net_contribution output is 280 USDk, and its baseline_margin_pct output is 25 %. [1]</w:t>
      </w:r>
    </w:p>
    <w:p>
      <w:pPr>
        <w:pStyle w:val="Normal"/>
      </w:pPr>
      <w:r>
        <w:rPr>
          <w:lang w:val="en-US"/>
        </w:rPr>
        <w:t xml:space="preserve">The telemetry scenario does not model revenue growth, dispatch growth, or a change in completed-dispatch count. Revenue remains 1,120 USDk and dispatches remain 640, 520, and 490 in the scenario working table. [1] Its financial effect derives solely from lower operating-cost inputs attributed to the assumed 10% reduction. [1]</w:t>
      </w:r>
    </w:p>
    <w:p>
      <w:pPr>
        <w:pStyle w:val="Normal"/>
      </w:pPr>
      <w:r>
        <w:rPr>
          <w:lang w:val="en-US"/>
        </w:rPr>
        <w:t xml:space="preserve">Under that assumption, scenario operating cost is 756 USDk. The difference from the 840 USDk baseline is 84 USDk. [1] The ledger's scenario_net_contribution is therefore 364 USDk, calculated as 1,120 USDk less 756 USDk. [1] Relative to baseline_net_contribution of 280 USDk, the calculated contribution difference is 84 USDk. This comparison is an inference directly derived from the two stated ledger outputs. [1]</w:t>
      </w:r>
    </w:p>
    <w:p>
      <w:pPr>
        <w:pStyle w:val="Normal"/>
      </w:pPr>
      <w:r>
        <w:rPr>
          <w:lang w:val="en-US"/>
        </w:rPr>
        <w:t xml:space="preserve">The first-quarter calculation deducts assumed_rollout_capex of 45 USDk from the 84 USDk cost difference. The ledger reports net_first_quarter_benefit of 39 USDk. [1] This is not evidence of realized savings, payback, or approved capex. It is a deterministic output conditional on both the scenario operating cost and the untested 45 USDk input. [1]</w:t>
      </w:r>
    </w:p>
    <w:p>
      <w:pPr>
        <w:pStyle w:val="Caption"/>
        <w:jc w:val="center"/>
      </w:pPr>
      <w:r>
        <w:rPr>
          <w:lang w:val="en-US"/>
        </w:rPr>
        <w:t xml:space="preserve">Baseline and scenario financial measures, in USDk. Scenario measures depend on untested management assumptions. [1]</w:t>
      </w:r>
    </w:p>
    <w:p>
      <w:pPr>
        <w:pStyle w:val="Normal"/>
      </w:pPr>
      <w:r>
        <w:rPr>
          <w:lang w:val="en-US"/>
        </w:rPr>
        <w:t xml:space="preserve"> </w:t>
      </w:r>
      <w:r>
        <w:rPr>
          <w:lang w:val="en-US"/>
        </w:rPr>
        <w:t xml:space="preserve">Bar chart</w:t>
      </w:r>
      <w:r>
        <w:rPr>
          <w:lang w:val="en-US"/>
        </w:rPr>
        <w:t xml:space="preserve"> </w:t>
      </w:r>
      <w:r>
        <w:rPr>
          <w:lang w:val="en-US"/>
        </w:rPr>
        <w:t xml:space="preserve">Generated bar chart visualization.</w:t>
      </w:r>
      <w:r>
        <w:rPr>
          <w:lang w:val="en-US"/>
        </w:rPr>
        <w:t xml:space="preserve"> </w:t>
      </w:r>
      <w:r>
        <w:rPr>
          <w:lang w:val="en-US"/>
        </w:rPr>
        <w:t xml:space="preserve"> </w:t>
      </w:r>
      <w:r>
        <w:rPr>
          <w:lang w:val="en-US"/>
        </w:rPr>
        <w:t xml:space="preserve"> </w:t>
      </w:r>
      <w:r>
        <w:rPr>
          <w:lang w:val="en-US"/>
        </w:rPr>
        <w:t xml:space="preserve"> </w:t>
      </w:r>
      <w:r>
        <w:rPr>
          <w:lang w:val="en-US"/>
        </w:rPr>
        <w:t xml:space="preserve">840</w:t>
      </w:r>
      <w:r>
        <w:rPr>
          <w:lang w:val="en-US"/>
        </w:rPr>
        <w:t xml:space="preserve"> </w:t>
      </w:r>
      <w:r>
        <w:rPr>
          <w:lang w:val="en-US"/>
        </w:rPr>
        <w:t xml:space="preserve"> </w:t>
      </w:r>
      <w:r>
        <w:rPr>
          <w:lang w:val="en-US"/>
        </w:rPr>
        <w:t xml:space="preserve">756</w:t>
      </w:r>
      <w:r>
        <w:rPr>
          <w:lang w:val="en-US"/>
        </w:rPr>
        <w:t xml:space="preserve"> </w:t>
      </w:r>
      <w:r>
        <w:rPr>
          <w:lang w:val="en-US"/>
        </w:rPr>
        <w:t xml:space="preserve"> </w:t>
      </w:r>
      <w:r>
        <w:rPr>
          <w:lang w:val="en-US"/>
        </w:rPr>
        <w:t xml:space="preserve">280</w:t>
      </w:r>
      <w:r>
        <w:rPr>
          <w:lang w:val="en-US"/>
        </w:rPr>
        <w:t xml:space="preserve"> </w:t>
      </w:r>
      <w:r>
        <w:rPr>
          <w:lang w:val="en-US"/>
        </w:rPr>
        <w:t xml:space="preserve"> </w:t>
      </w:r>
      <w:r>
        <w:rPr>
          <w:lang w:val="en-US"/>
        </w:rPr>
        <w:t xml:space="preserve">364</w:t>
      </w:r>
      <w:r>
        <w:rPr>
          <w:lang w:val="en-US"/>
        </w:rPr>
        <w:t xml:space="preserve"> </w:t>
      </w:r>
      <w:r>
        <w:rPr>
          <w:lang w:val="en-US"/>
        </w:rPr>
        <w:t xml:space="preserve"> </w:t>
      </w:r>
      <w:r>
        <w:rPr>
          <w:lang w:val="en-US"/>
        </w:rPr>
        <w:t xml:space="preserve">39</w:t>
      </w:r>
      <w:r>
        <w:rPr>
          <w:lang w:val="en-US"/>
        </w:rPr>
        <w:t xml:space="preserve"> </w:t>
      </w:r>
      <w:r>
        <w:rPr>
          <w:lang w:val="en-US"/>
        </w:rPr>
        <w:t xml:space="preserve">Baseline oper…</w:t>
      </w:r>
      <w:r>
        <w:rPr>
          <w:lang w:val="en-US"/>
        </w:rPr>
        <w:t xml:space="preserve"> </w:t>
      </w:r>
      <w:r>
        <w:rPr>
          <w:lang w:val="en-US"/>
        </w:rPr>
        <w:t xml:space="preserve">Scenario oper…</w:t>
      </w:r>
      <w:r>
        <w:rPr>
          <w:lang w:val="en-US"/>
        </w:rPr>
        <w:t xml:space="preserve"> </w:t>
      </w:r>
      <w:r>
        <w:rPr>
          <w:lang w:val="en-US"/>
        </w:rPr>
        <w:t xml:space="preserve">Baseline net …</w:t>
      </w:r>
      <w:r>
        <w:rPr>
          <w:lang w:val="en-US"/>
        </w:rPr>
        <w:t xml:space="preserve"> </w:t>
      </w:r>
      <w:r>
        <w:rPr>
          <w:lang w:val="en-US"/>
        </w:rPr>
        <w:t xml:space="preserve">Scenario net …</w:t>
      </w:r>
      <w:r>
        <w:rPr>
          <w:lang w:val="en-US"/>
        </w:rPr>
        <w:t xml:space="preserve"> </w:t>
      </w:r>
      <w:r>
        <w:rPr>
          <w:lang w:val="en-US"/>
        </w:rPr>
        <w:t xml:space="preserve">Net first-qua…</w:t>
      </w:r>
      <w:r>
        <w:rPr>
          <w:lang w:val="en-US"/>
        </w:rPr>
        <w:t xml:space="preserve"> </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4513"/>
        <w:gridCol w:w="4513"/>
      </w:tblGrid>
      <w:tr>
        <w:trPr>
          <w:cantSplit/>
          <w:tblHeader/>
        </w:trPr>
        <w:tc>
          <w:tcPr>
            <w:tcW w:w="4513" w:type="dxa"/>
            <w:shd w:val="clear" w:color="auto" w:fill="0B2A5C"/>
          </w:tcPr>
          <w:p>
            <w:pPr>
              <w:pStyle w:val="TableHeading"/>
              <w:spacing w:before="0" w:after="0" w:line="240" w:lineRule="auto"/>
              <w:ind w:left="0" w:right="0" w:firstLine="0"/>
              <w:jc w:val="left"/>
            </w:pPr>
            <w:r>
              <w:rPr>
                <w:b/>
                <w:lang w:val="en-US"/>
              </w:rPr>
              <w:t xml:space="preserve">Measure</w:t>
            </w:r>
          </w:p>
        </w:tc>
        <w:tc>
          <w:tcPr>
            <w:tcW w:w="4513" w:type="dxa"/>
            <w:shd w:val="clear" w:color="auto" w:fill="0B2A5C"/>
          </w:tcPr>
          <w:p>
            <w:pPr>
              <w:pStyle w:val="TableHeading"/>
              <w:spacing w:before="0" w:after="0" w:line="240" w:lineRule="auto"/>
              <w:ind w:left="0" w:right="0" w:firstLine="0"/>
              <w:jc w:val="left"/>
            </w:pPr>
            <w:r>
              <w:rPr>
                <w:b/>
                <w:lang w:val="en-US"/>
              </w:rPr>
              <w:t xml:space="preserve">USDk</w:t>
            </w:r>
          </w:p>
        </w:tc>
      </w:tr>
      <w:tr>
        <w:trPr>
          <w:cantSplit/>
        </w:trPr>
        <w:tc>
          <w:tcPr>
            <w:tcW w:w="4513" w:type="dxa"/>
          </w:tcPr>
          <w:p>
            <w:pPr>
              <w:pStyle w:val="TableText"/>
              <w:spacing w:before="0" w:after="0" w:line="240" w:lineRule="auto"/>
              <w:ind w:left="0" w:right="0" w:firstLine="0"/>
              <w:jc w:val="left"/>
            </w:pPr>
            <w:r>
              <w:rPr>
                <w:lang w:val="en-US"/>
              </w:rPr>
              <w:t xml:space="preserve">Baseline operating cost</w:t>
            </w:r>
          </w:p>
        </w:tc>
        <w:tc>
          <w:tcPr>
            <w:tcW w:w="4513" w:type="dxa"/>
          </w:tcPr>
          <w:p>
            <w:pPr>
              <w:pStyle w:val="TableText"/>
              <w:spacing w:before="0" w:after="0" w:line="240" w:lineRule="auto"/>
              <w:ind w:left="0" w:right="0" w:firstLine="0"/>
              <w:jc w:val="left"/>
            </w:pPr>
            <w:r>
              <w:rPr>
                <w:lang w:val="en-US"/>
              </w:rPr>
              <w:t xml:space="preserve">840</w:t>
            </w:r>
          </w:p>
        </w:tc>
      </w:tr>
      <w:tr>
        <w:trPr>
          <w:cantSplit/>
        </w:trPr>
        <w:tc>
          <w:tcPr>
            <w:tcW w:w="4513" w:type="dxa"/>
            <w:shd w:val="clear" w:color="auto" w:fill="F4F7FB"/>
          </w:tcPr>
          <w:p>
            <w:pPr>
              <w:pStyle w:val="TableText"/>
              <w:spacing w:before="0" w:after="0" w:line="240" w:lineRule="auto"/>
              <w:ind w:left="0" w:right="0" w:firstLine="0"/>
              <w:jc w:val="left"/>
            </w:pPr>
            <w:r>
              <w:rPr>
                <w:lang w:val="en-US"/>
              </w:rPr>
              <w:t xml:space="preserve">Scenario operating cost</w:t>
            </w:r>
          </w:p>
        </w:tc>
        <w:tc>
          <w:tcPr>
            <w:tcW w:w="4513" w:type="dxa"/>
            <w:shd w:val="clear" w:color="auto" w:fill="F4F7FB"/>
          </w:tcPr>
          <w:p>
            <w:pPr>
              <w:pStyle w:val="TableText"/>
              <w:spacing w:before="0" w:after="0" w:line="240" w:lineRule="auto"/>
              <w:ind w:left="0" w:right="0" w:firstLine="0"/>
              <w:jc w:val="left"/>
            </w:pPr>
            <w:r>
              <w:rPr>
                <w:lang w:val="en-US"/>
              </w:rPr>
              <w:t xml:space="preserve">756</w:t>
            </w:r>
          </w:p>
        </w:tc>
      </w:tr>
      <w:tr>
        <w:trPr>
          <w:cantSplit/>
        </w:trPr>
        <w:tc>
          <w:tcPr>
            <w:tcW w:w="4513" w:type="dxa"/>
          </w:tcPr>
          <w:p>
            <w:pPr>
              <w:pStyle w:val="TableText"/>
              <w:spacing w:before="0" w:after="0" w:line="240" w:lineRule="auto"/>
              <w:ind w:left="0" w:right="0" w:firstLine="0"/>
              <w:jc w:val="left"/>
            </w:pPr>
            <w:r>
              <w:rPr>
                <w:lang w:val="en-US"/>
              </w:rPr>
              <w:t xml:space="preserve">Baseline net contribution</w:t>
            </w:r>
          </w:p>
        </w:tc>
        <w:tc>
          <w:tcPr>
            <w:tcW w:w="4513" w:type="dxa"/>
          </w:tcPr>
          <w:p>
            <w:pPr>
              <w:pStyle w:val="TableText"/>
              <w:spacing w:before="0" w:after="0" w:line="240" w:lineRule="auto"/>
              <w:ind w:left="0" w:right="0" w:firstLine="0"/>
              <w:jc w:val="left"/>
            </w:pPr>
            <w:r>
              <w:rPr>
                <w:lang w:val="en-US"/>
              </w:rPr>
              <w:t xml:space="preserve">280</w:t>
            </w:r>
          </w:p>
        </w:tc>
      </w:tr>
      <w:tr>
        <w:trPr>
          <w:cantSplit/>
        </w:trPr>
        <w:tc>
          <w:tcPr>
            <w:tcW w:w="4513" w:type="dxa"/>
            <w:shd w:val="clear" w:color="auto" w:fill="F4F7FB"/>
          </w:tcPr>
          <w:p>
            <w:pPr>
              <w:pStyle w:val="TableText"/>
              <w:spacing w:before="0" w:after="0" w:line="240" w:lineRule="auto"/>
              <w:ind w:left="0" w:right="0" w:firstLine="0"/>
              <w:jc w:val="left"/>
            </w:pPr>
            <w:r>
              <w:rPr>
                <w:lang w:val="en-US"/>
              </w:rPr>
              <w:t xml:space="preserve">Scenario net contribution</w:t>
            </w:r>
          </w:p>
        </w:tc>
        <w:tc>
          <w:tcPr>
            <w:tcW w:w="4513" w:type="dxa"/>
            <w:shd w:val="clear" w:color="auto" w:fill="F4F7FB"/>
          </w:tcPr>
          <w:p>
            <w:pPr>
              <w:pStyle w:val="TableText"/>
              <w:spacing w:before="0" w:after="0" w:line="240" w:lineRule="auto"/>
              <w:ind w:left="0" w:right="0" w:firstLine="0"/>
              <w:jc w:val="left"/>
            </w:pPr>
            <w:r>
              <w:rPr>
                <w:lang w:val="en-US"/>
              </w:rPr>
              <w:t xml:space="preserve">364</w:t>
            </w:r>
          </w:p>
        </w:tc>
      </w:tr>
      <w:tr>
        <w:trPr>
          <w:cantSplit/>
        </w:trPr>
        <w:tc>
          <w:tcPr>
            <w:tcW w:w="4513" w:type="dxa"/>
          </w:tcPr>
          <w:p>
            <w:pPr>
              <w:pStyle w:val="TableText"/>
              <w:spacing w:before="0" w:after="0" w:line="240" w:lineRule="auto"/>
              <w:ind w:left="0" w:right="0" w:firstLine="0"/>
              <w:jc w:val="left"/>
            </w:pPr>
            <w:r>
              <w:rPr>
                <w:lang w:val="en-US"/>
              </w:rPr>
              <w:t xml:space="preserve">Net first-quarter benefit after assumed rollout cost</w:t>
            </w:r>
          </w:p>
        </w:tc>
        <w:tc>
          <w:tcPr>
            <w:tcW w:w="4513" w:type="dxa"/>
          </w:tcPr>
          <w:p>
            <w:pPr>
              <w:pStyle w:val="TableText"/>
              <w:spacing w:before="0" w:after="0" w:line="240" w:lineRule="auto"/>
              <w:ind w:left="0" w:right="0" w:firstLine="0"/>
              <w:jc w:val="left"/>
            </w:pPr>
            <w:r>
              <w:rPr>
                <w:lang w:val="en-US"/>
              </w:rPr>
              <w:t xml:space="preserve">39</w:t>
            </w:r>
          </w:p>
        </w:tc>
      </w:tr>
    </w:tbl>
    <w:p>
      <w:pPr>
        <w:pStyle w:val="Heading2"/>
        <w:outlineLvl w:val="1"/>
      </w:pPr>
      <w:r>
        <w:rPr>
          <w:lang w:val="en-US"/>
        </w:rPr>
        <w:t xml:space="preserve">Risks &amp; Mitigations</w:t>
      </w:r>
    </w:p>
    <w:p>
      <w:pPr>
        <w:pStyle w:val="Heading3"/>
        <w:outlineLvl w:val="2"/>
      </w:pPr>
      <w:r>
        <w:rPr>
          <w:lang w:val="en-US"/>
        </w:rPr>
        <w:t xml:space="preserve">Central assumption risk</w:t>
      </w:r>
    </w:p>
    <w:p>
      <w:pPr>
        <w:pStyle w:val="Normal"/>
      </w:pPr>
      <w:r>
        <w:rPr>
          <w:lang w:val="en-US"/>
        </w:rPr>
        <w:t xml:space="preserve">The central risk is that the assumed 10% operating-cost reduction may not hold across all three hubs. The source labels this reduction as an untested management estimate. [1] Because scenario_operating_cost of 756 USDk, scenario_net_contribution of 364 USDk, and net_first_quarter_benefit of 39 USDk all depend on that assumption, realized results could differ from the modeled outcomes. [1]</w:t>
      </w:r>
    </w:p>
    <w:p>
      <w:pPr>
        <w:pStyle w:val="Normal"/>
      </w:pPr>
      <w:r>
        <w:rPr>
          <w:b/>
          <w:lang w:val="en-US"/>
        </w:rPr>
        <w:t xml:space="preserve">Mitigation:</w:t>
      </w:r>
      <w:r>
        <w:rPr>
          <w:lang w:val="en-US"/>
        </w:rPr>
        <w:t xml:space="preserve"> conduct the recommended North Hub pilot and compare observed pilot operating-cost outcomes with the supplied North Hub baseline operating cost of 310 USDk. [1]</w:t>
      </w:r>
    </w:p>
    <w:p>
      <w:pPr>
        <w:pStyle w:val="Heading3"/>
        <w:outlineLvl w:val="2"/>
      </w:pPr>
      <w:r>
        <w:rPr>
          <w:lang w:val="en-US"/>
        </w:rPr>
        <w:t xml:space="preserve">Rollout-cost risk</w:t>
      </w:r>
    </w:p>
    <w:p>
      <w:pPr>
        <w:pStyle w:val="Normal"/>
      </w:pPr>
      <w:r>
        <w:rPr>
          <w:lang w:val="en-US"/>
        </w:rPr>
        <w:t xml:space="preserve">The 45 USDk rollout capex is also an untested management assumption. [1] The supplied evidence does not identify cost components, payment timing, pilot cost, contingency, or whether the capex is sufficient for a three-hub implementation. [1]</w:t>
      </w:r>
    </w:p>
    <w:p>
      <w:pPr>
        <w:pStyle w:val="Normal"/>
      </w:pPr>
      <w:r>
        <w:rPr>
          <w:b/>
          <w:lang w:val="en-US"/>
        </w:rPr>
        <w:t xml:space="preserve">Mitigation:</w:t>
      </w:r>
      <w:r>
        <w:rPr>
          <w:lang w:val="en-US"/>
        </w:rPr>
        <w:t xml:space="preserve"> verify the cost estimate and distinguish any pilot expenditure from any full-rollout expenditure before committing the stated three-hub amount.</w:t>
      </w:r>
    </w:p>
    <w:p>
      <w:pPr>
        <w:pStyle w:val="Heading3"/>
        <w:outlineLvl w:val="2"/>
      </w:pPr>
      <w:r>
        <w:rPr>
          <w:lang w:val="en-US"/>
        </w:rPr>
        <w:t xml:space="preserve">Measurement and scope risk</w:t>
      </w:r>
    </w:p>
    <w:p>
      <w:pPr>
        <w:pStyle w:val="Normal"/>
      </w:pPr>
      <w:r>
        <w:rPr>
          <w:lang w:val="en-US"/>
        </w:rPr>
        <w:t xml:space="preserve">The source provides Q3 revenue, operating cost, and completed dispatches, but it does not specify the cost categories included in operating cost or the operational mechanisms through which telemetry would reduce them. [1] It also does not provide service-quality, customer, safety, workforce, or implementation measures. [1]</w:t>
      </w:r>
    </w:p>
    <w:p>
      <w:pPr>
        <w:pStyle w:val="Normal"/>
      </w:pPr>
      <w:r>
        <w:rPr>
          <w:b/>
          <w:lang w:val="en-US"/>
        </w:rPr>
        <w:t xml:space="preserve">Mitigation:</w:t>
      </w:r>
      <w:r>
        <w:rPr>
          <w:lang w:val="en-US"/>
        </w:rPr>
        <w:t xml:space="preserve"> define pilot measurement criteria before launch, including the baseline cost measure, observed cost measure, completed dispatches, and decision rule for proceeding. These criteria are needed for validation; the supplied materials do not define them.</w:t>
      </w:r>
    </w:p>
    <w:p>
      <w:pPr>
        <w:pStyle w:val="Heading2"/>
        <w:outlineLvl w:val="1"/>
      </w:pPr>
      <w:r>
        <w:rPr>
          <w:lang w:val="en-US"/>
        </w:rPr>
        <w:t xml:space="preserve">Recommendation &amp; Next Steps</w:t>
      </w:r>
    </w:p>
    <w:p>
      <w:pPr>
        <w:pStyle w:val="Normal"/>
      </w:pPr>
      <w:r>
        <w:rPr>
          <w:lang w:val="en-US"/>
        </w:rPr>
        <w:t xml:space="preserve">Proceed with a staged </w:t>
      </w:r>
      <w:r>
        <w:rPr>
          <w:b/>
          <w:lang w:val="en-US"/>
        </w:rPr>
        <w:t xml:space="preserve">one-hub pilot in North Hub</w:t>
      </w:r>
      <w:r>
        <w:rPr>
          <w:lang w:val="en-US"/>
        </w:rPr>
        <w:t xml:space="preserve">, consistent with the recommendation rule in the source material. [1] The objective is to validate whether the assumed 10% dispatch-cost reduction holds in practice before committing the assumed 45 USDk rollout across North Hub, South Hub, and East Hub. [1]</w:t>
      </w:r>
    </w:p>
    <w:p>
      <w:pPr>
        <w:pStyle w:val="Normal"/>
      </w:pPr>
      <w:r>
        <w:rPr>
          <w:lang w:val="en-US"/>
        </w:rPr>
        <w:t xml:space="preserve">North Hub is the specified pilot location and has supplied Q3 revenue of 420 USDk, operating cost of 310 USDk, and 640 completed dispatches. [1] Under the scenario's untested assumption, its modeled operating cost is 279 USDk, implying a modeled 31 USDk reduction from the supplied baseline. [1] This provides a transparent local benchmark, but it should not be treated as a confirmed pilot benefit before results are observed.</w:t>
      </w:r>
    </w:p>
    <w:p>
      <w:pPr>
        <w:pStyle w:val="Normal"/>
      </w:pPr>
      <w:r>
        <w:rPr>
          <w:lang w:val="en-US"/>
        </w:rPr>
        <w:t xml:space="preserve">Before pilot authorization, document the distinction between the evidence categories used in this review:</w:t>
      </w:r>
    </w:p>
    <w:p>
      <w:pPr>
        <w:pStyle w:val="ListParagraph"/>
        <w:numPr>
          <w:ilvl w:val="0"/>
          <w:numId w:val="1"/>
        </w:numPr>
        <w:ind w:left="360" w:hanging="240"/>
      </w:pPr>
      <w:r>
        <w:rPr>
          <w:lang w:val="en-US"/>
        </w:rPr>
        <w:t xml:space="preserve">Use the supplied Q3 baseline figures as the starting benchmark: 420 USDk revenue, 310 USDk operating cost, and 640 completed dispatches for North Hub. [1]</w:t>
      </w:r>
    </w:p>
    <w:p>
      <w:pPr>
        <w:pStyle w:val="ListParagraph"/>
        <w:numPr>
          <w:ilvl w:val="0"/>
          <w:numId w:val="1"/>
        </w:numPr>
        <w:ind w:left="360" w:hanging="240"/>
      </w:pPr>
      <w:r>
        <w:rPr>
          <w:lang w:val="en-US"/>
        </w:rPr>
        <w:t xml:space="preserve">Use the deterministic ledger formulas as the calculation method for portfolio-level comparison, including baseline_net_contribution, baseline_margin_pct, scenario_net_contribution, and net_first_quarter_benefit. [1]</w:t>
      </w:r>
    </w:p>
    <w:p>
      <w:pPr>
        <w:pStyle w:val="ListParagraph"/>
        <w:numPr>
          <w:ilvl w:val="0"/>
          <w:numId w:val="1"/>
        </w:numPr>
        <w:ind w:left="360" w:hanging="240"/>
      </w:pPr>
      <w:r>
        <w:rPr>
          <w:lang w:val="en-US"/>
        </w:rPr>
        <w:t xml:space="preserve">Record the 10% cost reduction and 45 USDk rollout capex as assumptions requiring validation, not as approved results or established facts. [1]</w:t>
      </w:r>
    </w:p>
    <w:p>
      <w:pPr>
        <w:pStyle w:val="Normal"/>
      </w:pPr>
      <w:r>
        <w:rPr>
          <w:lang w:val="en-US"/>
        </w:rPr>
        <w:t xml:space="preserve">At the end of the pilot, assess whether observed cost changes support or fail to support the assumed reduction. Also verify whether any expected full-rollout expenditure remains consistent with the 45 USDk assumption. The supplied evidence does not establish a required pilot duration, financial approval threshold, or go/no-go criterion; these remain </w:t>
      </w:r>
      <w:r>
        <w:rPr>
          <w:b/>
          <w:lang w:val="en-US"/>
        </w:rPr>
        <w:t xml:space="preserve">[Needs verification]</w:t>
      </w:r>
      <w:r>
        <w:rPr>
          <w:lang w:val="en-US"/>
        </w:rPr>
        <w:t xml:space="preserve">.</w:t>
      </w:r>
    </w:p>
    <w:p>
      <w:pPr>
        <w:pStyle w:val="Caption"/>
        <w:jc w:val="center"/>
      </w:pPr>
      <w:r>
        <w:rPr>
          <w:lang w:val="en-US"/>
        </w:rPr>
        <w:t xml:space="preserve">Telemetry dispatch decision sequence</w:t>
      </w:r>
    </w:p>
    <w:p>
      <w:pPr>
        <w:pStyle w:val="Normal"/>
      </w:pPr>
      <w:r>
        <w:rPr>
          <w:lang w:val="en-US"/>
        </w:rPr>
        <w:t xml:space="preserve">Use North Hub supplied Q3 operating cost of 310 USDk and 640 completed dispatches as the pilot benchmark. [1]</w:t>
      </w:r>
    </w:p>
    <w:p>
      <w:pPr>
        <w:pStyle w:val="Normal"/>
      </w:pPr>
      <w:r>
        <w:rPr>
          <w:lang w:val="en-US"/>
        </w:rPr>
        <w:t xml:space="preserve">↓</w:t>
      </w:r>
    </w:p>
    <w:p>
      <w:pPr>
        <w:pStyle w:val="Normal"/>
      </w:pPr>
      <w:r>
        <w:rPr>
          <w:lang w:val="en-US"/>
        </w:rPr>
        <w:t xml:space="preserve">Test whether the assumed 10% operating-cost reduction is achieved in practice. [1]</w:t>
      </w:r>
    </w:p>
    <w:p>
      <w:pPr>
        <w:pStyle w:val="Normal"/>
      </w:pPr>
      <w:r>
        <w:rPr>
          <w:lang w:val="en-US"/>
        </w:rPr>
        <w:t xml:space="preserve">↓</w:t>
      </w:r>
    </w:p>
    <w:p>
      <w:pPr>
        <w:pStyle w:val="Normal"/>
      </w:pPr>
      <w:r>
        <w:rPr>
          <w:lang w:val="en-US"/>
        </w:rPr>
        <w:t xml:space="preserve">Verify the assumed 45 USDk full-rollout capex before committing across three hubs. [1]</w:t>
      </w:r>
    </w:p>
    <w:p>
      <w:pPr>
        <w:pStyle w:val="Normal"/>
      </w:pPr>
      <w:r>
        <w:rPr>
          <w:lang w:val="en-US"/>
        </w:rPr>
        <w:t xml:space="preserve">↓</w:t>
      </w:r>
    </w:p>
    <w:p>
      <w:pPr>
        <w:pStyle w:val="Normal"/>
      </w:pPr>
      <w:r>
        <w:rPr>
          <w:lang w:val="en-US"/>
        </w:rPr>
        <w:t xml:space="preserve">Decide on wider rollout only after pilot evidence is reviewed. [1]</w:t>
      </w:r>
    </w:p>
    <w:p>
      <w:pPr>
        <w:pStyle w:val="Heading2"/>
        <w:outlineLvl w:val="1"/>
      </w:pPr>
      <w:r>
        <w:rPr>
          <w:lang w:val="en-US"/>
        </w:rPr>
        <w:t xml:space="preserve">Decisions &amp; Asks</w:t>
      </w:r>
    </w:p>
    <w:p>
      <w:pPr>
        <w:pStyle w:val="Normal"/>
      </w:pPr>
      <w:r>
        <w:rPr>
          <w:b/>
          <w:lang w:val="en-US"/>
        </w:rPr>
        <w:t xml:space="preserve">Decision requested:</w:t>
      </w:r>
      <w:r>
        <w:rPr>
          <w:lang w:val="en-US"/>
        </w:rPr>
        <w:t xml:space="preserve"> authorize a staged North Hub pilot rather than an immediate three-hub telemetry dispatch rollout. This follows the source recommendation to validate the assumed 10% dispatch-cost reduction before committing the full assumed 45 USDk rollout. [1]</w:t>
      </w:r>
    </w:p>
    <w:p>
      <w:pPr>
        <w:pStyle w:val="Normal"/>
      </w:pPr>
      <w:r>
        <w:rPr>
          <w:b/>
          <w:lang w:val="en-US"/>
        </w:rPr>
        <w:t xml:space="preserve">Management asks:</w:t>
      </w:r>
    </w:p>
    <w:p>
      <w:pPr>
        <w:pStyle w:val="ListParagraph"/>
        <w:numPr>
          <w:ilvl w:val="0"/>
          <w:numId w:val="2"/>
        </w:numPr>
        <w:ind w:left="360" w:hanging="240"/>
      </w:pPr>
      <w:r>
        <w:rPr>
          <w:lang w:val="en-US"/>
        </w:rPr>
        <w:t xml:space="preserve">Confirm that the Q3 baseline values are the approved comparison benchmark: total revenue of 1,120 USDk, total operating cost of 840 USDk, net contribution of 280 USDk, and margin of 25 %. [1]</w:t>
      </w:r>
    </w:p>
    <w:p>
      <w:pPr>
        <w:pStyle w:val="ListParagraph"/>
        <w:numPr>
          <w:ilvl w:val="0"/>
          <w:numId w:val="2"/>
        </w:numPr>
        <w:ind w:left="360" w:hanging="240"/>
      </w:pPr>
      <w:r>
        <w:rPr>
          <w:lang w:val="en-US"/>
        </w:rPr>
        <w:t xml:space="preserve">Confirm that the 10% operating-cost reduction is treated as an untested assumption rather than a realized or approved saving. [1]</w:t>
      </w:r>
    </w:p>
    <w:p>
      <w:pPr>
        <w:pStyle w:val="ListParagraph"/>
        <w:numPr>
          <w:ilvl w:val="0"/>
          <w:numId w:val="2"/>
        </w:numPr>
        <w:ind w:left="360" w:hanging="240"/>
      </w:pPr>
      <w:r>
        <w:rPr>
          <w:lang w:val="en-US"/>
        </w:rPr>
        <w:t xml:space="preserve">Require verification of the 45 USDk rollout capex before any full three-hub commitment. [1]</w:t>
      </w:r>
    </w:p>
    <w:p>
      <w:pPr>
        <w:pStyle w:val="ListParagraph"/>
        <w:numPr>
          <w:ilvl w:val="0"/>
          <w:numId w:val="2"/>
        </w:numPr>
        <w:ind w:left="360" w:hanging="240"/>
      </w:pPr>
      <w:r>
        <w:rPr>
          <w:lang w:val="en-US"/>
        </w:rPr>
        <w:t xml:space="preserve">Set pilot measurement criteria and a go/no-go decision rule. The supplied source does not provide these details. </w:t>
      </w:r>
      <w:r>
        <w:rPr>
          <w:b/>
          <w:lang w:val="en-US"/>
        </w:rPr>
        <w:t xml:space="preserve">[Needs verification]</w:t>
      </w:r>
    </w:p>
    <w:p>
      <w:pPr>
        <w:pStyle w:val="Normal"/>
      </w:pPr>
      <w:r>
        <w:rPr>
          <w:lang w:val="en-US"/>
        </w:rPr>
        <w:t xml:space="preserve">The current evidence supports a controlled validation step. It does not support representing the modeled 39 USDk first-quarter benefit as achieved financial performance. [1]</w:t>
      </w:r>
    </w:p>
    <w:p>
      <w:pPr>
        <w:pStyle w:val="Heading2"/>
        <w:outlineLvl w:val="1"/>
      </w:pPr>
      <w:r>
        <w:rPr>
          <w:lang w:val="en-US"/>
        </w:rPr>
        <w:t xml:space="preserve">Summary</w:t>
      </w:r>
    </w:p>
    <w:p>
      <w:pPr>
        <w:pStyle w:val="Normal"/>
      </w:pPr>
      <w:r>
        <w:rPr>
          <w:lang w:val="en-US"/>
        </w:rPr>
        <w:t xml:space="preserve">## Conclusion The available evidence supports proceeding with a controlled pilot rather than a full three-hub rollout. The projected first-quarter benefit of USD 39k should remain a planning assumption, not be presented as realized financial performance. Before committing further, the business should validate the estimated USD 45k rollout capex, confirm the operational assumptions behind the model, and establish clear pilot measures and a go/no-go decision rule. This approach limits financial exposure while generating the evidence needed to determine whether broader implementation is justified.</w:t>
      </w:r>
    </w:p>
    <w:p>
      <w:pPr>
        <w:pStyle w:val="Heading2"/>
        <w:outlineLvl w:val="1"/>
      </w:pPr>
      <w:r>
        <w:rPr>
          <w:lang w:val="en-US"/>
        </w:rPr>
        <w:t xml:space="preserve">Sources</w:t>
      </w:r>
    </w:p>
    <w:p>
      <w:pPr>
        <w:pStyle w:val="ListParagraph"/>
        <w:numPr>
          <w:ilvl w:val="0"/>
          <w:numId w:val="3"/>
        </w:numPr>
        <w:ind w:left="360" w:hanging="240"/>
      </w:pPr>
      <w:r>
        <w:rPr>
          <w:lang w:val="en-US"/>
        </w:rPr>
        <w:t xml:space="preserve">Document 1</w:t>
      </w:r>
    </w:p>
    <w:p>
      <w:pPr>
        <w:pStyle w:val="Heading2"/>
        <w:outlineLvl w:val="1"/>
      </w:pPr>
      <w:r>
        <w:rPr>
          <w:lang w:val="en-US"/>
        </w:rPr>
        <w:t xml:space="preserve">Reproducible computation</w:t>
      </w:r>
    </w:p>
    <w:p>
      <w:pPr>
        <w:pStyle w:val="Normal"/>
      </w:pPr>
      <w:r>
        <w:rPr>
          <w:b/>
          <w:lang w:val="en-US"/>
        </w:rPr>
        <w:t xml:space="preserve">Engine:</w:t>
      </w:r>
      <w:r>
        <w:rPr>
          <w:lang w:val="en-US"/>
        </w:rPr>
        <w:t xml:space="preserve"> gixo-analyst-decimal-v1</w:t>
      </w:r>
      <w:r>
        <w:br/>
      </w:r>
      <w:r>
        <w:rPr>
          <w:b/>
          <w:lang w:val="en-US"/>
        </w:rPr>
        <w:t xml:space="preserve">Definition SHA-256:</w:t>
      </w:r>
      <w:r>
        <w:rPr>
          <w:lang w:val="en-US"/>
        </w:rPr>
        <w:t xml:space="preserve"> </w:t>
      </w:r>
      <w:r>
        <w:rPr>
          <w:rStyle w:val="InlineCode"/>
          <w:rFonts w:ascii="JetBrains Mono" w:hAnsi="JetBrains Mono"/>
          <w:shd w:val="clear" w:fill="F3F6FA"/>
          <w:lang w:val="en-US"/>
        </w:rPr>
        <w:t xml:space="preserve">a06bb35175886b5da6940a7fbb0ef25a2d1057928fe9d2783faf4026df7af6f5</w:t>
      </w:r>
      <w:r>
        <w:br/>
      </w:r>
      <w:r>
        <w:rPr>
          <w:b/>
          <w:lang w:val="en-US"/>
        </w:rPr>
        <w:t xml:space="preserve">Result SHA-256:</w:t>
      </w:r>
      <w:r>
        <w:rPr>
          <w:lang w:val="en-US"/>
        </w:rPr>
        <w:t xml:space="preserve"> </w:t>
      </w:r>
      <w:r>
        <w:rPr>
          <w:rStyle w:val="InlineCode"/>
          <w:rFonts w:ascii="JetBrains Mono" w:hAnsi="JetBrains Mono"/>
          <w:shd w:val="clear" w:fill="F3F6FA"/>
          <w:lang w:val="en-US"/>
        </w:rPr>
        <w:t xml:space="preserve">0e2a56bf7435becbaa6157ecba262e1e33704c80ae0d20448c391bf92f63f44a</w:t>
      </w:r>
    </w:p>
    <w:p>
      <w:pPr>
        <w:pStyle w:val="Heading3"/>
        <w:outlineLvl w:val="2"/>
      </w:pPr>
      <w:r>
        <w:rPr>
          <w:lang w:val="en-US"/>
        </w:rPr>
        <w:t xml:space="preserve">Source inputs</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3009"/>
        <w:gridCol w:w="3009"/>
        <w:gridCol w:w="3008"/>
      </w:tblGrid>
      <w:tr>
        <w:trPr>
          <w:cantSplit/>
          <w:tblHeader/>
        </w:trPr>
        <w:tc>
          <w:tcPr>
            <w:tcW w:w="3009" w:type="dxa"/>
            <w:shd w:val="clear" w:color="auto" w:fill="0B2A5C"/>
          </w:tcPr>
          <w:p>
            <w:pPr>
              <w:pStyle w:val="TableHeading"/>
              <w:spacing w:before="0" w:after="0" w:line="240" w:lineRule="auto"/>
              <w:ind w:left="0" w:right="0" w:firstLine="0"/>
              <w:jc w:val="left"/>
            </w:pPr>
            <w:r>
              <w:rPr>
                <w:b/>
                <w:lang w:val="en-US"/>
              </w:rPr>
              <w:t xml:space="preserve">Input</w:t>
            </w:r>
          </w:p>
        </w:tc>
        <w:tc>
          <w:tcPr>
            <w:tcW w:w="3009" w:type="dxa"/>
            <w:shd w:val="clear" w:color="auto" w:fill="0B2A5C"/>
          </w:tcPr>
          <w:p>
            <w:pPr>
              <w:pStyle w:val="TableHeading"/>
              <w:spacing w:before="0" w:after="0" w:line="240" w:lineRule="auto"/>
              <w:ind w:left="0" w:right="0" w:firstLine="0"/>
              <w:jc w:val="left"/>
            </w:pPr>
            <w:r>
              <w:rPr>
                <w:b/>
                <w:lang w:val="en-US"/>
              </w:rPr>
              <w:t xml:space="preserve">Value</w:t>
            </w:r>
          </w:p>
        </w:tc>
        <w:tc>
          <w:tcPr>
            <w:tcW w:w="3008" w:type="dxa"/>
            <w:shd w:val="clear" w:color="auto" w:fill="0B2A5C"/>
          </w:tcPr>
          <w:p>
            <w:pPr>
              <w:pStyle w:val="TableHeading"/>
              <w:spacing w:before="0" w:after="0" w:line="240" w:lineRule="auto"/>
              <w:ind w:left="0" w:right="0" w:firstLine="0"/>
              <w:jc w:val="left"/>
            </w:pPr>
            <w:r>
              <w:rPr>
                <w:b/>
                <w:lang w:val="en-US"/>
              </w:rPr>
              <w:t xml:space="preserve">Evidence reference</w:t>
            </w:r>
          </w:p>
        </w:tc>
      </w:tr>
      <w:tr>
        <w:trPr>
          <w:cantSplit/>
        </w:trPr>
        <w:tc>
          <w:tcPr>
            <w:tcW w:w="3009" w:type="dxa"/>
          </w:tcPr>
          <w:p>
            <w:pPr>
              <w:pStyle w:val="TableText"/>
              <w:spacing w:before="0" w:after="0" w:line="240" w:lineRule="auto"/>
              <w:ind w:left="0" w:right="0" w:firstLine="0"/>
              <w:jc w:val="left"/>
            </w:pPr>
            <w:r>
              <w:rPr>
                <w:rStyle w:val="InlineCode"/>
                <w:rFonts w:ascii="JetBrains Mono" w:hAnsi="JetBrains Mono"/>
                <w:shd w:val="clear" w:fill="F3F6FA"/>
                <w:lang w:val="en-US"/>
              </w:rPr>
              <w:t xml:space="preserve">scenario_operating_cost</w:t>
            </w:r>
            <w:r>
              <w:rPr>
                <w:lang w:val="en-US"/>
              </w:rPr>
              <w:t xml:space="preserve"> — Selected value</w:t>
            </w:r>
          </w:p>
        </w:tc>
        <w:tc>
          <w:tcPr>
            <w:tcW w:w="3009" w:type="dxa"/>
          </w:tcPr>
          <w:p>
            <w:pPr>
              <w:pStyle w:val="TableText"/>
              <w:spacing w:before="0" w:after="0" w:line="240" w:lineRule="auto"/>
              <w:ind w:left="0" w:right="0" w:firstLine="0"/>
              <w:jc w:val="left"/>
            </w:pPr>
            <w:r>
              <w:rPr>
                <w:lang w:val="en-US"/>
              </w:rPr>
              <w:t xml:space="preserve">756 USDk</w:t>
            </w:r>
          </w:p>
        </w:tc>
        <w:tc>
          <w:tcPr>
            <w:tcW w:w="3008" w:type="dxa"/>
          </w:tcPr>
          <w:p>
            <w:pPr>
              <w:pStyle w:val="TableText"/>
              <w:spacing w:before="0" w:after="0" w:line="240" w:lineRule="auto"/>
              <w:ind w:left="0" w:right="0" w:firstLine="0"/>
              <w:jc w:val="left"/>
            </w:pPr>
            <w:r>
              <w:rPr>
                <w:lang w:val="en-US"/>
              </w:rPr>
              <w:t xml:space="preserve">Telemetry Scenario · QuarterlyOperatingCostUsdK · Sum 3 rows · table:1ce231e8b5844c60aa9c0a43b19c4d41 · sha256:260608542c324e114b73831f65b03efc17aa09c3324a4a73b1bddcedb1571613</w:t>
            </w:r>
          </w:p>
        </w:tc>
      </w:tr>
      <w:tr>
        <w:trPr>
          <w:cantSplit/>
        </w:trPr>
        <w:tc>
          <w:tcPr>
            <w:tcW w:w="3009" w:type="dxa"/>
            <w:shd w:val="clear" w:color="auto" w:fill="F4F7FB"/>
          </w:tcPr>
          <w:p>
            <w:pPr>
              <w:pStyle w:val="TableText"/>
              <w:spacing w:before="0" w:after="0" w:line="240" w:lineRule="auto"/>
              <w:ind w:left="0" w:right="0" w:firstLine="0"/>
              <w:jc w:val="left"/>
            </w:pPr>
            <w:r>
              <w:rPr>
                <w:rStyle w:val="InlineCode"/>
                <w:rFonts w:ascii="JetBrains Mono" w:hAnsi="JetBrains Mono"/>
                <w:shd w:val="clear" w:fill="F3F6FA"/>
                <w:lang w:val="en-US"/>
              </w:rPr>
              <w:t xml:space="preserve">baseline_revenue</w:t>
            </w:r>
            <w:r>
              <w:rPr>
                <w:lang w:val="en-US"/>
              </w:rPr>
              <w:t xml:space="preserve"> — Selected value</w:t>
            </w:r>
          </w:p>
        </w:tc>
        <w:tc>
          <w:tcPr>
            <w:tcW w:w="3009" w:type="dxa"/>
            <w:shd w:val="clear" w:color="auto" w:fill="F4F7FB"/>
          </w:tcPr>
          <w:p>
            <w:pPr>
              <w:pStyle w:val="TableText"/>
              <w:spacing w:before="0" w:after="0" w:line="240" w:lineRule="auto"/>
              <w:ind w:left="0" w:right="0" w:firstLine="0"/>
              <w:jc w:val="left"/>
            </w:pPr>
            <w:r>
              <w:rPr>
                <w:lang w:val="en-US"/>
              </w:rPr>
              <w:t xml:space="preserve">1120 USDk</w:t>
            </w:r>
          </w:p>
        </w:tc>
        <w:tc>
          <w:tcPr>
            <w:tcW w:w="3008" w:type="dxa"/>
            <w:shd w:val="clear" w:color="auto" w:fill="F4F7FB"/>
          </w:tcPr>
          <w:p>
            <w:pPr>
              <w:pStyle w:val="TableText"/>
              <w:spacing w:before="0" w:after="0" w:line="240" w:lineRule="auto"/>
              <w:ind w:left="0" w:right="0" w:firstLine="0"/>
              <w:jc w:val="left"/>
            </w:pPr>
            <w:r>
              <w:rPr>
                <w:lang w:val="en-US"/>
              </w:rPr>
              <w:t xml:space="preserve">Q3 Baseline · QuarterlyRevenueUsdK · Sum 3 rows · table:1ce231e8b5844c60aa9c0a43b19c4d41 · sha256:260608542c324e114b73831f65b03efc17aa09c3324a4a73b1bddcedb1571613</w:t>
            </w:r>
          </w:p>
        </w:tc>
      </w:tr>
      <w:tr>
        <w:trPr>
          <w:cantSplit/>
        </w:trPr>
        <w:tc>
          <w:tcPr>
            <w:tcW w:w="3009" w:type="dxa"/>
          </w:tcPr>
          <w:p>
            <w:pPr>
              <w:pStyle w:val="TableText"/>
              <w:spacing w:before="0" w:after="0" w:line="240" w:lineRule="auto"/>
              <w:ind w:left="0" w:right="0" w:firstLine="0"/>
              <w:jc w:val="left"/>
            </w:pPr>
            <w:r>
              <w:rPr>
                <w:rStyle w:val="InlineCode"/>
                <w:rFonts w:ascii="JetBrains Mono" w:hAnsi="JetBrains Mono"/>
                <w:shd w:val="clear" w:fill="F3F6FA"/>
                <w:lang w:val="en-US"/>
              </w:rPr>
              <w:t xml:space="preserve">baseline_operating_cost</w:t>
            </w:r>
            <w:r>
              <w:rPr>
                <w:lang w:val="en-US"/>
              </w:rPr>
              <w:t xml:space="preserve"> — Selected value</w:t>
            </w:r>
          </w:p>
        </w:tc>
        <w:tc>
          <w:tcPr>
            <w:tcW w:w="3009" w:type="dxa"/>
          </w:tcPr>
          <w:p>
            <w:pPr>
              <w:pStyle w:val="TableText"/>
              <w:spacing w:before="0" w:after="0" w:line="240" w:lineRule="auto"/>
              <w:ind w:left="0" w:right="0" w:firstLine="0"/>
              <w:jc w:val="left"/>
            </w:pPr>
            <w:r>
              <w:rPr>
                <w:lang w:val="en-US"/>
              </w:rPr>
              <w:t xml:space="preserve">840 USDk</w:t>
            </w:r>
          </w:p>
        </w:tc>
        <w:tc>
          <w:tcPr>
            <w:tcW w:w="3008" w:type="dxa"/>
          </w:tcPr>
          <w:p>
            <w:pPr>
              <w:pStyle w:val="TableText"/>
              <w:spacing w:before="0" w:after="0" w:line="240" w:lineRule="auto"/>
              <w:ind w:left="0" w:right="0" w:firstLine="0"/>
              <w:jc w:val="left"/>
            </w:pPr>
            <w:r>
              <w:rPr>
                <w:lang w:val="en-US"/>
              </w:rPr>
              <w:t xml:space="preserve">Q3 Baseline · QuarterlyOperatingCostUsdK · Sum 3 rows · table:1ce231e8b5844c60aa9c0a43b19c4d41 · sha256:260608542c324e114b73831f65b03efc17aa09c3324a4a73b1bddcedb1571613</w:t>
            </w:r>
          </w:p>
        </w:tc>
      </w:tr>
      <w:tr>
        <w:trPr>
          <w:cantSplit/>
        </w:trPr>
        <w:tc>
          <w:tcPr>
            <w:tcW w:w="3009" w:type="dxa"/>
            <w:shd w:val="clear" w:color="auto" w:fill="F4F7FB"/>
          </w:tcPr>
          <w:p>
            <w:pPr>
              <w:pStyle w:val="TableText"/>
              <w:spacing w:before="0" w:after="0" w:line="240" w:lineRule="auto"/>
              <w:ind w:left="0" w:right="0" w:firstLine="0"/>
              <w:jc w:val="left"/>
            </w:pPr>
            <w:r>
              <w:rPr>
                <w:rStyle w:val="InlineCode"/>
                <w:rFonts w:ascii="JetBrains Mono" w:hAnsi="JetBrains Mono"/>
                <w:shd w:val="clear" w:fill="F3F6FA"/>
                <w:lang w:val="en-US"/>
              </w:rPr>
              <w:t xml:space="preserve">assumed_rollout_capex</w:t>
            </w:r>
            <w:r>
              <w:rPr>
                <w:lang w:val="en-US"/>
              </w:rPr>
              <w:t xml:space="preserve"> — Assumed one-time telemetry rollout cost (explicit assumption)</w:t>
            </w:r>
          </w:p>
        </w:tc>
        <w:tc>
          <w:tcPr>
            <w:tcW w:w="3009" w:type="dxa"/>
            <w:shd w:val="clear" w:color="auto" w:fill="F4F7FB"/>
          </w:tcPr>
          <w:p>
            <w:pPr>
              <w:pStyle w:val="TableText"/>
              <w:spacing w:before="0" w:after="0" w:line="240" w:lineRule="auto"/>
              <w:ind w:left="0" w:right="0" w:firstLine="0"/>
              <w:jc w:val="left"/>
            </w:pPr>
            <w:r>
              <w:rPr>
                <w:lang w:val="en-US"/>
              </w:rPr>
              <w:t xml:space="preserve">45 USDk</w:t>
            </w:r>
          </w:p>
        </w:tc>
        <w:tc>
          <w:tcPr>
            <w:tcW w:w="3008" w:type="dxa"/>
            <w:shd w:val="clear" w:color="auto" w:fill="F4F7FB"/>
          </w:tcPr>
          <w:p>
            <w:pPr>
              <w:pStyle w:val="TableText"/>
              <w:spacing w:before="0" w:after="0" w:line="240" w:lineRule="auto"/>
              <w:ind w:left="0" w:right="0" w:firstLine="0"/>
              <w:jc w:val="left"/>
            </w:pPr>
            <w:r>
              <w:rPr>
                <w:lang w:val="en-US"/>
              </w:rPr>
              <w:t xml:space="preserve">Explicit management assumption — untested pilot estimate</w:t>
            </w:r>
          </w:p>
        </w:tc>
      </w:tr>
    </w:tbl>
    <w:p>
      <w:pPr>
        <w:pStyle w:val="Heading3"/>
        <w:outlineLvl w:val="2"/>
      </w:pPr>
      <w:r>
        <w:rPr>
          <w:lang w:val="en-US"/>
        </w:rPr>
        <w:t xml:space="preserve">Executed formulas</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2257"/>
        <w:gridCol w:w="2257"/>
        <w:gridCol w:w="2256"/>
        <w:gridCol w:w="2256"/>
      </w:tblGrid>
      <w:tr>
        <w:trPr>
          <w:cantSplit/>
          <w:tblHeader/>
        </w:trPr>
        <w:tc>
          <w:tcPr>
            <w:tcW w:w="2257" w:type="dxa"/>
            <w:shd w:val="clear" w:color="auto" w:fill="0B2A5C"/>
          </w:tcPr>
          <w:p>
            <w:pPr>
              <w:pStyle w:val="TableHeading"/>
              <w:spacing w:before="0" w:after="0" w:line="240" w:lineRule="auto"/>
              <w:ind w:left="0" w:right="0" w:firstLine="0"/>
              <w:jc w:val="left"/>
            </w:pPr>
            <w:r>
              <w:rPr>
                <w:b/>
                <w:lang w:val="en-US"/>
              </w:rPr>
              <w:t xml:space="preserve">Output</w:t>
            </w:r>
          </w:p>
        </w:tc>
        <w:tc>
          <w:tcPr>
            <w:tcW w:w="2257" w:type="dxa"/>
            <w:shd w:val="clear" w:color="auto" w:fill="0B2A5C"/>
          </w:tcPr>
          <w:p>
            <w:pPr>
              <w:pStyle w:val="TableHeading"/>
              <w:spacing w:before="0" w:after="0" w:line="240" w:lineRule="auto"/>
              <w:ind w:left="0" w:right="0" w:firstLine="0"/>
              <w:jc w:val="left"/>
            </w:pPr>
            <w:r>
              <w:rPr>
                <w:b/>
                <w:lang w:val="en-US"/>
              </w:rPr>
              <w:t xml:space="preserve">Formula</w:t>
            </w:r>
          </w:p>
        </w:tc>
        <w:tc>
          <w:tcPr>
            <w:tcW w:w="2256" w:type="dxa"/>
            <w:shd w:val="clear" w:color="auto" w:fill="0B2A5C"/>
          </w:tcPr>
          <w:p>
            <w:pPr>
              <w:pStyle w:val="TableHeading"/>
              <w:spacing w:before="0" w:after="0" w:line="240" w:lineRule="auto"/>
              <w:ind w:left="0" w:right="0" w:firstLine="0"/>
              <w:jc w:val="left"/>
            </w:pPr>
            <w:r>
              <w:rPr>
                <w:b/>
                <w:lang w:val="en-US"/>
              </w:rPr>
              <w:t xml:space="preserve">Result</w:t>
            </w:r>
          </w:p>
        </w:tc>
        <w:tc>
          <w:tcPr>
            <w:tcW w:w="2256" w:type="dxa"/>
            <w:shd w:val="clear" w:color="auto" w:fill="0B2A5C"/>
          </w:tcPr>
          <w:p>
            <w:pPr>
              <w:pStyle w:val="TableHeading"/>
              <w:spacing w:before="0" w:after="0" w:line="240" w:lineRule="auto"/>
              <w:ind w:left="0" w:right="0" w:firstLine="0"/>
              <w:jc w:val="left"/>
            </w:pPr>
            <w:r>
              <w:rPr>
                <w:b/>
                <w:lang w:val="en-US"/>
              </w:rPr>
              <w:t xml:space="preserve">Trace</w:t>
            </w:r>
          </w:p>
        </w:tc>
      </w:tr>
      <w:tr>
        <w:trPr>
          <w:cantSplit/>
        </w:trPr>
        <w:tc>
          <w:tcPr>
            <w:tcW w:w="2257" w:type="dxa"/>
          </w:tcPr>
          <w:p>
            <w:pPr>
              <w:pStyle w:val="TableText"/>
              <w:spacing w:before="0" w:after="0" w:line="240" w:lineRule="auto"/>
              <w:ind w:left="0" w:right="0" w:firstLine="0"/>
              <w:jc w:val="left"/>
            </w:pPr>
            <w:r>
              <w:rPr>
                <w:rStyle w:val="InlineCode"/>
                <w:rFonts w:ascii="JetBrains Mono" w:hAnsi="JetBrains Mono"/>
                <w:shd w:val="clear" w:fill="F3F6FA"/>
                <w:lang w:val="en-US"/>
              </w:rPr>
              <w:t xml:space="preserve">baseline_net_contribution</w:t>
            </w:r>
            <w:r>
              <w:rPr>
                <w:lang w:val="en-US"/>
              </w:rPr>
              <w:t xml:space="preserve"> — Baseline Q3 Net Contribution</w:t>
            </w:r>
          </w:p>
        </w:tc>
        <w:tc>
          <w:tcPr>
            <w:tcW w:w="2257" w:type="dxa"/>
          </w:tcPr>
          <w:p>
            <w:pPr>
              <w:pStyle w:val="TableText"/>
              <w:spacing w:before="0" w:after="0" w:line="240" w:lineRule="auto"/>
              <w:ind w:left="0" w:right="0" w:firstLine="0"/>
              <w:jc w:val="left"/>
            </w:pPr>
            <w:r>
              <w:rPr>
                <w:rStyle w:val="InlineCode"/>
                <w:rFonts w:ascii="JetBrains Mono" w:hAnsi="JetBrains Mono"/>
                <w:shd w:val="clear" w:fill="F3F6FA"/>
                <w:lang w:val="en-US"/>
              </w:rPr>
              <w:t xml:space="preserve">baseline_revenue - baseline_operating_cost</w:t>
            </w:r>
          </w:p>
        </w:tc>
        <w:tc>
          <w:tcPr>
            <w:tcW w:w="2256" w:type="dxa"/>
          </w:tcPr>
          <w:p>
            <w:pPr>
              <w:pStyle w:val="TableText"/>
              <w:spacing w:before="0" w:after="0" w:line="240" w:lineRule="auto"/>
              <w:ind w:left="0" w:right="0" w:firstLine="0"/>
              <w:jc w:val="left"/>
            </w:pPr>
            <w:r>
              <w:rPr>
                <w:lang w:val="en-US"/>
              </w:rPr>
              <w:t xml:space="preserve">280.00 USDk</w:t>
            </w:r>
          </w:p>
        </w:tc>
        <w:tc>
          <w:tcPr>
            <w:tcW w:w="2256" w:type="dxa"/>
          </w:tcPr>
          <w:p>
            <w:pPr>
              <w:pStyle w:val="TableText"/>
              <w:spacing w:before="0" w:after="0" w:line="240" w:lineRule="auto"/>
              <w:ind w:left="0" w:right="0" w:firstLine="0"/>
              <w:jc w:val="left"/>
            </w:pPr>
            <w:r>
              <w:rPr>
                <w:lang w:val="en-US"/>
              </w:rPr>
              <w:t xml:space="preserve">Depends on: baseline_operating_cost, baseline_revenue</w:t>
            </w:r>
            <w:r>
              <w:br/>
            </w:r>
            <w:r>
              <w:rPr>
                <w:rStyle w:val="InlineCode"/>
                <w:rFonts w:ascii="JetBrains Mono" w:hAnsi="JetBrains Mono"/>
                <w:shd w:val="clear" w:fill="F3F6FA"/>
                <w:lang w:val="en-US"/>
              </w:rPr>
              <w:t xml:space="preserve">d319683e1b9d2ccd9088e539fb2ab9b93bbd08aedad16c3abd8fe6e2454d0fc5</w:t>
            </w:r>
          </w:p>
        </w:tc>
      </w:tr>
      <w:tr>
        <w:trPr>
          <w:cantSplit/>
        </w:trPr>
        <w:tc>
          <w:tcPr>
            <w:tcW w:w="2257" w:type="dxa"/>
            <w:shd w:val="clear" w:color="auto" w:fill="F4F7FB"/>
          </w:tcPr>
          <w:p>
            <w:pPr>
              <w:pStyle w:val="TableText"/>
              <w:spacing w:before="0" w:after="0" w:line="240" w:lineRule="auto"/>
              <w:ind w:left="0" w:right="0" w:firstLine="0"/>
              <w:jc w:val="left"/>
            </w:pPr>
            <w:r>
              <w:rPr>
                <w:rStyle w:val="InlineCode"/>
                <w:rFonts w:ascii="JetBrains Mono" w:hAnsi="JetBrains Mono"/>
                <w:shd w:val="clear" w:fill="F3F6FA"/>
                <w:lang w:val="en-US"/>
              </w:rPr>
              <w:t xml:space="preserve">baseline_margin_pct</w:t>
            </w:r>
            <w:r>
              <w:rPr>
                <w:lang w:val="en-US"/>
              </w:rPr>
              <w:t xml:space="preserve"> — Baseline Operating Margin</w:t>
            </w:r>
          </w:p>
        </w:tc>
        <w:tc>
          <w:tcPr>
            <w:tcW w:w="2257" w:type="dxa"/>
            <w:shd w:val="clear" w:color="auto" w:fill="F4F7FB"/>
          </w:tcPr>
          <w:p>
            <w:pPr>
              <w:pStyle w:val="TableText"/>
              <w:spacing w:before="0" w:after="0" w:line="240" w:lineRule="auto"/>
              <w:ind w:left="0" w:right="0" w:firstLine="0"/>
              <w:jc w:val="left"/>
            </w:pPr>
            <w:r>
              <w:rPr>
                <w:rStyle w:val="InlineCode"/>
                <w:rFonts w:ascii="JetBrains Mono" w:hAnsi="JetBrains Mono"/>
                <w:shd w:val="clear" w:fill="F3F6FA"/>
                <w:lang w:val="en-US"/>
              </w:rPr>
              <w:t xml:space="preserve">PERCENT(baseline_revenue - baseline_operating_cost, baseline_revenue)</w:t>
            </w:r>
          </w:p>
        </w:tc>
        <w:tc>
          <w:tcPr>
            <w:tcW w:w="2256" w:type="dxa"/>
            <w:shd w:val="clear" w:color="auto" w:fill="F4F7FB"/>
          </w:tcPr>
          <w:p>
            <w:pPr>
              <w:pStyle w:val="TableText"/>
              <w:spacing w:before="0" w:after="0" w:line="240" w:lineRule="auto"/>
              <w:ind w:left="0" w:right="0" w:firstLine="0"/>
              <w:jc w:val="left"/>
            </w:pPr>
            <w:r>
              <w:rPr>
                <w:lang w:val="en-US"/>
              </w:rPr>
              <w:t xml:space="preserve">25.00 %</w:t>
            </w:r>
          </w:p>
        </w:tc>
        <w:tc>
          <w:tcPr>
            <w:tcW w:w="2256" w:type="dxa"/>
            <w:shd w:val="clear" w:color="auto" w:fill="F4F7FB"/>
          </w:tcPr>
          <w:p>
            <w:pPr>
              <w:pStyle w:val="TableText"/>
              <w:spacing w:before="0" w:after="0" w:line="240" w:lineRule="auto"/>
              <w:ind w:left="0" w:right="0" w:firstLine="0"/>
              <w:jc w:val="left"/>
            </w:pPr>
            <w:r>
              <w:rPr>
                <w:lang w:val="en-US"/>
              </w:rPr>
              <w:t xml:space="preserve">Depends on: baseline_operating_cost, baseline_revenue</w:t>
            </w:r>
            <w:r>
              <w:br/>
            </w:r>
            <w:r>
              <w:rPr>
                <w:rStyle w:val="InlineCode"/>
                <w:rFonts w:ascii="JetBrains Mono" w:hAnsi="JetBrains Mono"/>
                <w:shd w:val="clear" w:fill="F3F6FA"/>
                <w:lang w:val="en-US"/>
              </w:rPr>
              <w:t xml:space="preserve">6d7ad37c25f6a1055812f078145a51a628bb9c92220df5a81a4bc701700d728c</w:t>
            </w:r>
          </w:p>
        </w:tc>
      </w:tr>
      <w:tr>
        <w:trPr>
          <w:cantSplit/>
        </w:trPr>
        <w:tc>
          <w:tcPr>
            <w:tcW w:w="2257" w:type="dxa"/>
          </w:tcPr>
          <w:p>
            <w:pPr>
              <w:pStyle w:val="TableText"/>
              <w:spacing w:before="0" w:after="0" w:line="240" w:lineRule="auto"/>
              <w:ind w:left="0" w:right="0" w:firstLine="0"/>
              <w:jc w:val="left"/>
            </w:pPr>
            <w:r>
              <w:rPr>
                <w:rStyle w:val="InlineCode"/>
                <w:rFonts w:ascii="JetBrains Mono" w:hAnsi="JetBrains Mono"/>
                <w:shd w:val="clear" w:fill="F3F6FA"/>
                <w:lang w:val="en-US"/>
              </w:rPr>
              <w:t xml:space="preserve">scenario_net_contribution</w:t>
            </w:r>
            <w:r>
              <w:rPr>
                <w:lang w:val="en-US"/>
              </w:rPr>
              <w:t xml:space="preserve"> — Scenario Quarterly Net Contribution (10% cost reduction)</w:t>
            </w:r>
          </w:p>
        </w:tc>
        <w:tc>
          <w:tcPr>
            <w:tcW w:w="2257" w:type="dxa"/>
          </w:tcPr>
          <w:p>
            <w:pPr>
              <w:pStyle w:val="TableText"/>
              <w:spacing w:before="0" w:after="0" w:line="240" w:lineRule="auto"/>
              <w:ind w:left="0" w:right="0" w:firstLine="0"/>
              <w:jc w:val="left"/>
            </w:pPr>
            <w:r>
              <w:rPr>
                <w:rStyle w:val="InlineCode"/>
                <w:rFonts w:ascii="JetBrains Mono" w:hAnsi="JetBrains Mono"/>
                <w:shd w:val="clear" w:fill="F3F6FA"/>
                <w:lang w:val="en-US"/>
              </w:rPr>
              <w:t xml:space="preserve">baseline_revenue - scenario_operating_cost</w:t>
            </w:r>
          </w:p>
        </w:tc>
        <w:tc>
          <w:tcPr>
            <w:tcW w:w="2256" w:type="dxa"/>
          </w:tcPr>
          <w:p>
            <w:pPr>
              <w:pStyle w:val="TableText"/>
              <w:spacing w:before="0" w:after="0" w:line="240" w:lineRule="auto"/>
              <w:ind w:left="0" w:right="0" w:firstLine="0"/>
              <w:jc w:val="left"/>
            </w:pPr>
            <w:r>
              <w:rPr>
                <w:lang w:val="en-US"/>
              </w:rPr>
              <w:t xml:space="preserve">364.00 USDk</w:t>
            </w:r>
          </w:p>
        </w:tc>
        <w:tc>
          <w:tcPr>
            <w:tcW w:w="2256" w:type="dxa"/>
          </w:tcPr>
          <w:p>
            <w:pPr>
              <w:pStyle w:val="TableText"/>
              <w:spacing w:before="0" w:after="0" w:line="240" w:lineRule="auto"/>
              <w:ind w:left="0" w:right="0" w:firstLine="0"/>
              <w:jc w:val="left"/>
            </w:pPr>
            <w:r>
              <w:rPr>
                <w:lang w:val="en-US"/>
              </w:rPr>
              <w:t xml:space="preserve">Depends on: baseline_revenue, scenario_operating_cost</w:t>
            </w:r>
            <w:r>
              <w:br/>
            </w:r>
            <w:r>
              <w:rPr>
                <w:rStyle w:val="InlineCode"/>
                <w:rFonts w:ascii="JetBrains Mono" w:hAnsi="JetBrains Mono"/>
                <w:shd w:val="clear" w:fill="F3F6FA"/>
                <w:lang w:val="en-US"/>
              </w:rPr>
              <w:t xml:space="preserve">f2112ea436f6510e10d0747b34004610854f2f86d3be2d8672030e7c30c0ef22</w:t>
            </w:r>
          </w:p>
        </w:tc>
      </w:tr>
      <w:tr>
        <w:trPr>
          <w:cantSplit/>
        </w:trPr>
        <w:tc>
          <w:tcPr>
            <w:tcW w:w="2257" w:type="dxa"/>
            <w:shd w:val="clear" w:color="auto" w:fill="F4F7FB"/>
          </w:tcPr>
          <w:p>
            <w:pPr>
              <w:pStyle w:val="TableText"/>
              <w:spacing w:before="0" w:after="0" w:line="240" w:lineRule="auto"/>
              <w:ind w:left="0" w:right="0" w:firstLine="0"/>
              <w:jc w:val="left"/>
            </w:pPr>
            <w:r>
              <w:rPr>
                <w:rStyle w:val="InlineCode"/>
                <w:rFonts w:ascii="JetBrains Mono" w:hAnsi="JetBrains Mono"/>
                <w:shd w:val="clear" w:fill="F3F6FA"/>
                <w:lang w:val="en-US"/>
              </w:rPr>
              <w:t xml:space="preserve">net_first_quarter_benefit</w:t>
            </w:r>
            <w:r>
              <w:rPr>
                <w:lang w:val="en-US"/>
              </w:rPr>
              <w:t xml:space="preserve"> — Net Q1 Benefit After Assumed Rollout Cost</w:t>
            </w:r>
          </w:p>
        </w:tc>
        <w:tc>
          <w:tcPr>
            <w:tcW w:w="2257" w:type="dxa"/>
            <w:shd w:val="clear" w:color="auto" w:fill="F4F7FB"/>
          </w:tcPr>
          <w:p>
            <w:pPr>
              <w:pStyle w:val="TableText"/>
              <w:spacing w:before="0" w:after="0" w:line="240" w:lineRule="auto"/>
              <w:ind w:left="0" w:right="0" w:firstLine="0"/>
              <w:jc w:val="left"/>
            </w:pPr>
            <w:r>
              <w:rPr>
                <w:rStyle w:val="InlineCode"/>
                <w:rFonts w:ascii="JetBrains Mono" w:hAnsi="JetBrains Mono"/>
                <w:shd w:val="clear" w:fill="F3F6FA"/>
                <w:lang w:val="en-US"/>
              </w:rPr>
              <w:t xml:space="preserve">(baseline_operating_cost - scenario_operating_cost) - assumed_rollout_capex</w:t>
            </w:r>
          </w:p>
        </w:tc>
        <w:tc>
          <w:tcPr>
            <w:tcW w:w="2256" w:type="dxa"/>
            <w:shd w:val="clear" w:color="auto" w:fill="F4F7FB"/>
          </w:tcPr>
          <w:p>
            <w:pPr>
              <w:pStyle w:val="TableText"/>
              <w:spacing w:before="0" w:after="0" w:line="240" w:lineRule="auto"/>
              <w:ind w:left="0" w:right="0" w:firstLine="0"/>
              <w:jc w:val="left"/>
            </w:pPr>
            <w:r>
              <w:rPr>
                <w:lang w:val="en-US"/>
              </w:rPr>
              <w:t xml:space="preserve">39.00 USDk</w:t>
            </w:r>
          </w:p>
        </w:tc>
        <w:tc>
          <w:tcPr>
            <w:tcW w:w="2256" w:type="dxa"/>
            <w:shd w:val="clear" w:color="auto" w:fill="F4F7FB"/>
          </w:tcPr>
          <w:p>
            <w:pPr>
              <w:pStyle w:val="TableText"/>
              <w:spacing w:before="0" w:after="0" w:line="240" w:lineRule="auto"/>
              <w:ind w:left="0" w:right="0" w:firstLine="0"/>
              <w:jc w:val="left"/>
            </w:pPr>
            <w:r>
              <w:rPr>
                <w:lang w:val="en-US"/>
              </w:rPr>
              <w:t xml:space="preserve">Depends on: assumed_rollout_capex, baseline_operating_cost, scenario_operating_cost</w:t>
            </w:r>
            <w:r>
              <w:br/>
            </w:r>
            <w:r>
              <w:rPr>
                <w:rStyle w:val="InlineCode"/>
                <w:rFonts w:ascii="JetBrains Mono" w:hAnsi="JetBrains Mono"/>
                <w:shd w:val="clear" w:fill="F3F6FA"/>
                <w:lang w:val="en-US"/>
              </w:rPr>
              <w:t xml:space="preserve">812dbf704730eb305f114371fe3eabc85b9d33e10761d857e56a2b751b23e818</w:t>
            </w:r>
          </w:p>
        </w:tc>
      </w:tr>
    </w:tbl>
    <w:p>
      <w:pPr>
        <w:pStyle w:val="Heading2"/>
        <w:outlineLvl w:val="1"/>
      </w:pPr>
      <w:r>
        <w:rPr>
          <w:lang w:val="en-US"/>
        </w:rPr>
        <w:t xml:space="preserve">Faithfulness review</w:t>
      </w:r>
    </w:p>
    <w:p>
      <w:pPr>
        <w:pStyle w:val="Normal"/>
      </w:pPr>
      <w:r>
        <w:rPr>
          <w:b/>
          <w:lang w:val="en-US"/>
        </w:rPr>
        <w:t xml:space="preserve">Status:</w:t>
      </w:r>
      <w:r>
        <w:rPr>
          <w:lang w:val="en-US"/>
        </w:rPr>
        <w:t xml:space="preserve"> NeedsReview — 1 claim(s) flagged for review (no high-severity issues).</w:t>
      </w:r>
    </w:p>
    <w:p>
      <w:pPr>
        <w:pStyle w:val="ListParagraph"/>
        <w:numPr>
          <w:ilvl w:val="0"/>
          <w:numId w:val="4"/>
        </w:numPr>
        <w:ind w:left="360" w:hanging="240"/>
      </w:pPr>
      <w:r>
        <w:rPr>
          <w:b/>
          <w:lang w:val="en-US"/>
        </w:rPr>
        <w:t xml:space="preserve">[Medium]</w:t>
      </w:r>
      <w:r>
        <w:rPr>
          <w:lang w:val="en-US"/>
        </w:rPr>
        <w:t xml:space="preserve"> "These are the supplied source figures from the Q3 baseline data and should be treated as the factual operating baseline" — The source requires these working figures to be presented as the author's own figures and states they carry no independent financial approval; calling them a factual operating baseline overstates their evidentiary status.</w:t>
      </w:r>
    </w:p>
    <w:sectPr>
      <w:footerReference xmlns:r="http://schemas.openxmlformats.org/officeDocument/2006/relationships" w:type="default" r:id="R7b244b7d8b344c65"/>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Inter">
    <w:family w:val="swiss"/>
    <w:pitch w:val="variable"/>
  </w:font>
  <w:font w:name="Inter Tight">
    <w:family w:val="swiss"/>
    <w:pitch w:val="variable"/>
  </w:font>
  <w:font w:name="JetBrains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2">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3">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4">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http://schemas.openxmlformats.org/wordprocessingml/2006/main">
  <w:docVars>
    <w:docVar w:name="CoverComposition" w:val="band"/>
  </w:docVars>
</w:settings>
</file>

<file path=word/styles.xml><?xml version="1.0" encoding="utf-8"?>
<w:styles xmlns:w="http://schemas.openxmlformats.org/wordprocessingml/2006/main">
  <w:docDefaults>
    <w:rPrDefault>
      <w:rPr>
        <w:rFonts w:ascii="Inter" w:hAnsi="Inter" w:eastAsia="Inter" w:cs="Inter"/>
        <w:color w:val="1F2937"/>
        <w:sz w:val="20"/>
        <w:szCs w:val="20"/>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44" w:line="316" w:lineRule="atLeast"/>
      <w:ind w:left="0" w:right="0" w:firstLine="0"/>
      <w:jc w:val="left"/>
    </w:pPr>
    <w:rPr>
      <w:rFonts w:ascii="Inter" w:hAnsi="Inter"/>
      <w:b w:val="false"/>
      <w:bCs w:val="false"/>
      <w:i w:val="false"/>
      <w:iCs w:val="false"/>
      <w:caps w:val="false"/>
      <w:color w:val="1F2937"/>
      <w:sz w:val="20"/>
      <w:szCs w:val="20"/>
    </w:rPr>
  </w:style>
  <w:style w:type="paragraph" w:styleId="ListParagraph">
    <w:name w:val="List Paragraph"/>
    <w:basedOn w:val="Normal"/>
    <w:qFormat/>
    <w:pPr>
      <w:spacing w:before="0" w:after="60" w:line="316" w:lineRule="atLeast"/>
      <w:ind w:left="0" w:right="0" w:firstLine="0"/>
      <w:jc w:val="left"/>
    </w:pPr>
    <w:rPr>
      <w:rFonts w:ascii="Inter" w:hAnsi="Inter"/>
      <w:b w:val="false"/>
      <w:bCs w:val="false"/>
      <w:i w:val="false"/>
      <w:iCs w:val="false"/>
      <w:caps w:val="false"/>
      <w:color w:val="1F2937"/>
      <w:sz w:val="20"/>
      <w:szCs w:val="20"/>
    </w:rPr>
  </w:style>
  <w:style w:type="paragraph" w:styleId="Heading1">
    <w:name w:val="Heading 1"/>
    <w:basedOn w:val="Normal"/>
    <w:next w:val="Normal"/>
    <w:qFormat/>
    <w:pPr>
      <w:keepNext/>
      <w:keepLines/>
      <w:pageBreakBefore w:val="true"/>
      <w:suppressAutoHyphens/>
      <w:spacing w:before="0" w:after="234" w:line="477" w:lineRule="atLeast"/>
      <w:ind w:left="0" w:right="0" w:firstLine="0"/>
      <w:jc w:val="left"/>
      <w:outlineLvl w:val="0"/>
    </w:pPr>
    <w:rPr>
      <w:rFonts w:ascii="Inter" w:hAnsi="Inter"/>
      <w:b w:val="true"/>
      <w:bCs w:val="true"/>
      <w:i w:val="false"/>
      <w:iCs w:val="false"/>
      <w:caps w:val="false"/>
      <w:color w:val="0B2350"/>
      <w:spacing w:val="-5"/>
      <w:sz w:val="39"/>
      <w:szCs w:val="39"/>
    </w:rPr>
  </w:style>
  <w:style w:type="paragraph" w:styleId="Heading2">
    <w:name w:val="Heading 2"/>
    <w:basedOn w:val="Normal"/>
    <w:next w:val="Normal"/>
    <w:qFormat/>
    <w:pPr>
      <w:keepNext/>
      <w:keepLines/>
      <w:pageBreakBefore w:val="false"/>
      <w:pBdr>
        <w:left w:val="single" w:color="E8620C" w:sz="24" w:space="9"/>
      </w:pBdr>
      <w:suppressAutoHyphens/>
      <w:spacing w:before="450" w:after="172" w:line="381" w:lineRule="atLeast"/>
      <w:ind w:left="232" w:right="0" w:firstLine="0"/>
      <w:jc w:val="left"/>
      <w:outlineLvl w:val="1"/>
    </w:pPr>
    <w:rPr>
      <w:rFonts w:ascii="Inter" w:hAnsi="Inter"/>
      <w:b w:val="true"/>
      <w:bCs w:val="true"/>
      <w:i w:val="false"/>
      <w:iCs w:val="false"/>
      <w:caps w:val="false"/>
      <w:color w:val="0B2350"/>
      <w:spacing w:val="-4"/>
      <w:sz w:val="31"/>
      <w:szCs w:val="31"/>
    </w:rPr>
  </w:style>
  <w:style w:type="paragraph" w:styleId="Heading3">
    <w:name w:val="Heading 3"/>
    <w:basedOn w:val="Normal"/>
    <w:next w:val="Normal"/>
    <w:qFormat/>
    <w:pPr>
      <w:keepNext/>
      <w:keepLines/>
      <w:pageBreakBefore w:val="false"/>
      <w:suppressAutoHyphens/>
      <w:spacing w:before="198" w:after="113" w:line="305" w:lineRule="atLeast"/>
      <w:ind w:left="0" w:right="0" w:firstLine="0"/>
      <w:jc w:val="left"/>
      <w:outlineLvl w:val="2"/>
    </w:pPr>
    <w:rPr>
      <w:rFonts w:ascii="Inter" w:hAnsi="Inter"/>
      <w:b w:val="true"/>
      <w:bCs w:val="true"/>
      <w:i w:val="false"/>
      <w:iCs w:val="false"/>
      <w:caps w:val="false"/>
      <w:color w:val="0B2350"/>
      <w:spacing w:val="-3"/>
      <w:sz w:val="25"/>
      <w:szCs w:val="25"/>
    </w:rPr>
  </w:style>
  <w:style w:type="paragraph" w:styleId="Heading4">
    <w:name w:val="Heading 4"/>
    <w:basedOn w:val="Normal"/>
    <w:next w:val="Normal"/>
    <w:qFormat/>
    <w:pPr>
      <w:keepNext/>
      <w:keepLines/>
      <w:pageBreakBefore w:val="false"/>
      <w:suppressAutoHyphens/>
      <w:spacing w:before="111" w:after="78" w:line="273" w:lineRule="atLeast"/>
      <w:ind w:left="0" w:right="0" w:firstLine="0"/>
      <w:jc w:val="left"/>
      <w:outlineLvl w:val="3"/>
    </w:pPr>
    <w:rPr>
      <w:rFonts w:ascii="Inter" w:hAnsi="Inter"/>
      <w:b w:val="true"/>
      <w:bCs w:val="true"/>
      <w:i w:val="false"/>
      <w:iCs w:val="false"/>
      <w:caps w:val="false"/>
      <w:color w:val="0B2350"/>
      <w:spacing w:val="-3"/>
      <w:sz w:val="22"/>
      <w:szCs w:val="22"/>
    </w:rPr>
  </w:style>
  <w:style w:type="paragraph" w:styleId="Heading5">
    <w:name w:val="Heading 5"/>
    <w:basedOn w:val="Normal"/>
    <w:next w:val="Normal"/>
    <w:qFormat/>
    <w:pPr>
      <w:keepNext/>
      <w:keepLines/>
      <w:pageBreakBefore w:val="false"/>
      <w:suppressAutoHyphens/>
      <w:spacing w:before="70" w:after="62" w:line="217" w:lineRule="atLeast"/>
      <w:ind w:left="0" w:right="0" w:firstLine="0"/>
      <w:jc w:val="left"/>
      <w:outlineLvl w:val="4"/>
    </w:pPr>
    <w:rPr>
      <w:rFonts w:ascii="Inter" w:hAnsi="Inter"/>
      <w:b w:val="true"/>
      <w:bCs w:val="true"/>
      <w:i w:val="false"/>
      <w:iCs w:val="false"/>
      <w:caps w:val="true"/>
      <w:color w:val="0B2350"/>
      <w:spacing w:val="11"/>
      <w:sz w:val="18"/>
      <w:szCs w:val="18"/>
    </w:rPr>
  </w:style>
  <w:style w:type="paragraph" w:styleId="Heading6">
    <w:name w:val="Heading 6"/>
    <w:basedOn w:val="Normal"/>
    <w:next w:val="Normal"/>
    <w:qFormat/>
    <w:pPr>
      <w:keepNext/>
      <w:keepLines/>
      <w:pageBreakBefore w:val="false"/>
      <w:suppressAutoHyphens/>
      <w:spacing w:before="70" w:after="62" w:line="217" w:lineRule="atLeast"/>
      <w:ind w:left="0" w:right="0" w:firstLine="0"/>
      <w:jc w:val="left"/>
      <w:outlineLvl w:val="5"/>
    </w:pPr>
    <w:rPr>
      <w:rFonts w:ascii="Inter" w:hAnsi="Inter"/>
      <w:b w:val="true"/>
      <w:bCs w:val="true"/>
      <w:i w:val="false"/>
      <w:iCs w:val="false"/>
      <w:caps w:val="true"/>
      <w:color w:val="0B2350"/>
      <w:spacing w:val="11"/>
      <w:sz w:val="18"/>
      <w:szCs w:val="18"/>
    </w:rPr>
  </w:style>
  <w:style w:type="paragraph" w:styleId="DocumentTitle" w:customStyle="true">
    <w:name w:val="Document Title"/>
    <w:basedOn w:val="Normal"/>
    <w:next w:val="Normal"/>
    <w:qFormat/>
    <w:pPr>
      <w:keepNext/>
      <w:keepLines/>
      <w:suppressAutoHyphens/>
      <w:spacing w:before="0" w:after="742" w:line="527" w:lineRule="atLeast"/>
      <w:ind w:left="0" w:right="0" w:firstLine="0"/>
      <w:jc w:val="left"/>
      <w:outlineLvl w:val="0"/>
    </w:pPr>
    <w:rPr>
      <w:rFonts w:ascii="Inter Tight" w:hAnsi="Inter Tight"/>
      <w:b w:val="true"/>
      <w:bCs w:val="true"/>
      <w:i w:val="false"/>
      <w:iCs w:val="false"/>
      <w:caps w:val="false"/>
      <w:color w:val="0B2350"/>
      <w:spacing w:val="-12"/>
      <w:sz w:val="49"/>
      <w:szCs w:val="49"/>
    </w:rPr>
  </w:style>
  <w:style w:type="paragraph" w:styleId="TOCHeading">
    <w:name w:val="TOC Heading"/>
    <w:basedOn w:val="Normal"/>
    <w:qFormat/>
    <w:pPr>
      <w:keepNext/>
      <w:keepLines/>
      <w:pBdr>
        <w:left w:val="single" w:color="E8620C" w:sz="24" w:space="9"/>
      </w:pBdr>
      <w:suppressAutoHyphens/>
      <w:spacing w:before="0" w:after="344" w:line="381" w:lineRule="atLeast"/>
      <w:ind w:left="232" w:right="0" w:firstLine="0"/>
      <w:jc w:val="left"/>
    </w:pPr>
    <w:rPr>
      <w:rFonts w:ascii="Inter" w:hAnsi="Inter"/>
      <w:b w:val="true"/>
      <w:bCs w:val="true"/>
      <w:i w:val="false"/>
      <w:iCs w:val="false"/>
      <w:caps w:val="false"/>
      <w:color w:val="0B2350"/>
      <w:spacing w:val="-4"/>
      <w:sz w:val="31"/>
      <w:szCs w:val="31"/>
    </w:rPr>
  </w:style>
  <w:style w:type="paragraph" w:styleId="TOC1">
    <w:name w:val="TOC 1"/>
    <w:basedOn w:val="Normal"/>
    <w:qFormat/>
    <w:pPr>
      <w:keepLines/>
      <w:pBdr>
        <w:bottom w:val="single" w:color="D3DBE6" w:sz="6" w:space="5"/>
        <w:between w:val="single" w:color="D3DBE6" w:sz="6" w:space="5"/>
      </w:pBdr>
      <w:suppressAutoHyphens/>
      <w:spacing w:before="100" w:after="0" w:line="270" w:lineRule="atLeast"/>
      <w:ind w:left="0" w:right="0" w:firstLine="0"/>
      <w:jc w:val="left"/>
    </w:pPr>
    <w:rPr>
      <w:rFonts w:ascii="Inter" w:hAnsi="Inter"/>
      <w:b w:val="true"/>
      <w:bCs w:val="true"/>
      <w:i w:val="false"/>
      <w:iCs w:val="false"/>
      <w:caps w:val="false"/>
      <w:color w:val="0B2350"/>
      <w:sz w:val="20"/>
      <w:szCs w:val="20"/>
    </w:rPr>
  </w:style>
  <w:style w:type="paragraph" w:styleId="TOC2">
    <w:name w:val="TOC 2"/>
    <w:basedOn w:val="Normal"/>
    <w:qFormat/>
    <w:pPr>
      <w:keepLines/>
      <w:pBdr>
        <w:bottom w:val="single" w:color="D3DBE6" w:sz="6" w:space="5"/>
        <w:between w:val="single" w:color="D3DBE6" w:sz="6" w:space="5"/>
      </w:pBdr>
      <w:suppressAutoHyphens/>
      <w:spacing w:before="100" w:after="0" w:line="270" w:lineRule="atLeast"/>
      <w:ind w:left="240" w:right="0" w:firstLine="0"/>
      <w:jc w:val="left"/>
    </w:pPr>
    <w:rPr>
      <w:rFonts w:ascii="Inter" w:hAnsi="Inter"/>
      <w:b w:val="false"/>
      <w:bCs w:val="false"/>
      <w:i w:val="false"/>
      <w:iCs w:val="false"/>
      <w:caps w:val="false"/>
      <w:color w:val="1F2937"/>
      <w:sz w:val="20"/>
      <w:szCs w:val="20"/>
    </w:rPr>
  </w:style>
  <w:style w:type="paragraph" w:styleId="TOC3">
    <w:name w:val="TOC 3"/>
    <w:basedOn w:val="Normal"/>
    <w:qFormat/>
    <w:pPr>
      <w:keepLines/>
      <w:pBdr>
        <w:bottom w:val="single" w:color="D3DBE6" w:sz="6" w:space="5"/>
        <w:between w:val="single" w:color="D3DBE6" w:sz="6" w:space="5"/>
      </w:pBdr>
      <w:suppressAutoHyphens/>
      <w:spacing w:before="100" w:after="0" w:line="240" w:lineRule="atLeast"/>
      <w:ind w:left="480" w:right="0" w:firstLine="0"/>
      <w:jc w:val="left"/>
    </w:pPr>
    <w:rPr>
      <w:rFonts w:ascii="Inter" w:hAnsi="Inter"/>
      <w:b w:val="false"/>
      <w:bCs w:val="false"/>
      <w:i w:val="false"/>
      <w:iCs w:val="false"/>
      <w:caps w:val="false"/>
      <w:color w:val="56606E"/>
      <w:sz w:val="18"/>
      <w:szCs w:val="18"/>
    </w:rPr>
  </w:style>
  <w:style w:type="paragraph" w:styleId="Caption">
    <w:name w:val="Caption"/>
    <w:basedOn w:val="Normal"/>
    <w:qFormat/>
    <w:pPr>
      <w:suppressAutoHyphens/>
      <w:spacing w:before="98" w:after="144" w:line="249" w:lineRule="atLeast"/>
      <w:ind w:left="0" w:right="0" w:firstLine="0"/>
      <w:jc w:val="center"/>
    </w:pPr>
    <w:rPr>
      <w:rFonts w:ascii="Inter" w:hAnsi="Inter"/>
      <w:b w:val="false"/>
      <w:bCs w:val="false"/>
      <w:i w:val="false"/>
      <w:iCs w:val="false"/>
      <w:caps w:val="false"/>
      <w:color w:val="56606E"/>
      <w:sz w:val="18"/>
      <w:szCs w:val="18"/>
    </w:rPr>
  </w:style>
  <w:style w:type="paragraph" w:styleId="Attribution" w:customStyle="true">
    <w:name w:val="Attribution"/>
    <w:basedOn w:val="Normal"/>
    <w:qFormat/>
    <w:pPr>
      <w:spacing w:before="0" w:after="144" w:line="231" w:lineRule="atLeast"/>
      <w:ind w:left="0" w:right="0" w:firstLine="0"/>
      <w:jc w:val="center"/>
    </w:pPr>
    <w:rPr>
      <w:rFonts w:ascii="Inter" w:hAnsi="Inter"/>
      <w:b w:val="false"/>
      <w:bCs w:val="false"/>
      <w:i w:val="true"/>
      <w:iCs w:val="true"/>
      <w:caps w:val="false"/>
      <w:color w:val="56606E"/>
      <w:sz w:val="18"/>
      <w:szCs w:val="18"/>
    </w:rPr>
  </w:style>
  <w:style w:type="paragraph" w:styleId="Quote">
    <w:name w:val="Quote"/>
    <w:basedOn w:val="Normal"/>
    <w:qFormat/>
    <w:pPr>
      <w:pBdr>
        <w:left w:val="single" w:color="E8620C" w:sz="24" w:space="10"/>
      </w:pBdr>
      <w:spacing w:before="230" w:after="144" w:line="316" w:lineRule="atLeast"/>
      <w:ind w:left="260" w:right="0" w:firstLine="0"/>
      <w:jc w:val="left"/>
    </w:pPr>
    <w:rPr>
      <w:rFonts w:ascii="Inter" w:hAnsi="Inter"/>
      <w:b w:val="false"/>
      <w:bCs w:val="false"/>
      <w:i w:val="true"/>
      <w:iCs w:val="true"/>
      <w:caps w:val="false"/>
      <w:color w:val="56606E"/>
      <w:sz w:val="20"/>
      <w:szCs w:val="20"/>
    </w:rPr>
  </w:style>
  <w:style w:type="paragraph" w:styleId="QuoteSource" w:customStyle="true">
    <w:name w:val="Quote Source"/>
    <w:basedOn w:val="Normal"/>
    <w:qFormat/>
    <w:pPr>
      <w:pBdr>
        <w:left w:val="single" w:color="E8620C" w:sz="24" w:space="10"/>
      </w:pBdr>
      <w:spacing w:before="230" w:after="144" w:line="316" w:lineRule="atLeast"/>
      <w:ind w:left="260" w:right="0" w:firstLine="0"/>
      <w:jc w:val="left"/>
    </w:pPr>
    <w:rPr>
      <w:rFonts w:ascii="Inter" w:hAnsi="Inter"/>
      <w:b w:val="false"/>
      <w:bCs w:val="false"/>
      <w:i w:val="false"/>
      <w:iCs w:val="false"/>
      <w:caps w:val="false"/>
      <w:color w:val="56606E"/>
      <w:sz w:val="18"/>
      <w:szCs w:val="18"/>
    </w:rPr>
  </w:style>
  <w:style w:type="paragraph" w:styleId="PullQuote" w:customStyle="true">
    <w:name w:val="Pull Quote"/>
    <w:basedOn w:val="Normal"/>
    <w:qFormat/>
    <w:pPr>
      <w:keepLines/>
      <w:pBdr>
        <w:top w:val="single" w:color="E8620C" w:sz="11" w:space="8"/>
        <w:bottom w:val="single" w:color="D3DBE6" w:sz="6" w:space="8"/>
      </w:pBdr>
      <w:spacing w:before="322" w:after="322" w:line="325" w:lineRule="atLeast"/>
      <w:ind w:left="0" w:right="0" w:firstLine="0"/>
      <w:jc w:val="left"/>
    </w:pPr>
    <w:rPr>
      <w:rFonts w:ascii="Inter Tight" w:hAnsi="Inter Tight"/>
      <w:b w:val="false"/>
      <w:bCs w:val="false"/>
      <w:i w:val="false"/>
      <w:iCs w:val="false"/>
      <w:caps w:val="false"/>
      <w:color w:val="0B2350"/>
      <w:sz w:val="25"/>
      <w:szCs w:val="25"/>
    </w:rPr>
  </w:style>
  <w:style w:type="paragraph" w:styleId="Callout" w:customStyle="true">
    <w:name w:val="Callout"/>
    <w:basedOn w:val="Normal"/>
    <w:qFormat/>
    <w:pPr>
      <w:pBdr>
        <w:top w:val="single" w:color="F3F6FA" w:sz="2" w:space="8"/>
        <w:left w:val="single" w:color="E8620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Tip" w:customStyle="true">
    <w:name w:val="Callout Tip"/>
    <w:basedOn w:val="Normal"/>
    <w:qFormat/>
    <w:pPr>
      <w:pBdr>
        <w:top w:val="single" w:color="F3F6FA" w:sz="2" w:space="8"/>
        <w:left w:val="single" w:color="146C43"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Warning" w:customStyle="true">
    <w:name w:val="Callout Warning"/>
    <w:basedOn w:val="Normal"/>
    <w:qFormat/>
    <w:pPr>
      <w:pBdr>
        <w:top w:val="single" w:color="F3F6FA" w:sz="2" w:space="8"/>
        <w:left w:val="single" w:color="8A5300"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Note" w:customStyle="true">
    <w:name w:val="Callout Note"/>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 w:customStyle="true">
    <w:name w:val="Panel"/>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Top" w:customStyle="true">
    <w:name w:val="Panel Top"/>
    <w:basedOn w:val="Normal"/>
    <w:qFormat/>
    <w:pPr>
      <w:pBdr>
        <w:top w:val="single" w:color="0B2A5C" w:sz="24" w:space="8"/>
        <w:left w:val="single" w:color="F3F6FA" w:sz="2" w:space="10"/>
        <w:bottom w:val="single" w:color="F3F6FA" w:sz="2" w:space="8"/>
        <w:right w:val="single" w:color="F3F6FA" w:sz="2" w:space="10"/>
      </w:pBdr>
      <w:shd w:val="clear" w:color="auto" w:fill="F3F6FA"/>
      <w:spacing w:before="230" w:after="144" w:line="316" w:lineRule="atLeast"/>
      <w:ind w:left="215" w:right="215" w:firstLine="0"/>
      <w:jc w:val="left"/>
    </w:pPr>
    <w:rPr>
      <w:rFonts w:ascii="Inter" w:hAnsi="Inter"/>
      <w:b w:val="false"/>
      <w:bCs w:val="false"/>
      <w:i w:val="false"/>
      <w:iCs w:val="false"/>
      <w:caps w:val="false"/>
      <w:color w:val="1F2937"/>
      <w:sz w:val="20"/>
      <w:szCs w:val="20"/>
    </w:rPr>
  </w:style>
  <w:style w:type="paragraph" w:styleId="Code" w:customStyle="true">
    <w:name w:val="Code"/>
    <w:basedOn w:val="Normal"/>
    <w:qFormat/>
    <w:pPr>
      <w:pBdr>
        <w:top w:val="single" w:color="D3DBE6" w:sz="6" w:space="8"/>
        <w:left w:val="single" w:color="D3DBE6" w:sz="6" w:space="9"/>
        <w:bottom w:val="single" w:color="D3DBE6" w:sz="6" w:space="8"/>
        <w:right w:val="single" w:color="D3DBE6" w:sz="6" w:space="9"/>
      </w:pBdr>
      <w:shd w:val="clear" w:color="auto" w:fill="F3F6FA"/>
      <w:suppressAutoHyphens/>
      <w:spacing w:before="205" w:after="205" w:line="267" w:lineRule="atLeast"/>
      <w:ind w:left="193" w:right="193" w:firstLine="0"/>
      <w:contextualSpacing/>
      <w:jc w:val="left"/>
    </w:pPr>
    <w:rPr>
      <w:rFonts w:ascii="JetBrains Mono" w:hAnsi="JetBrains Mono"/>
      <w:b w:val="false"/>
      <w:bCs w:val="false"/>
      <w:i w:val="false"/>
      <w:iCs w:val="false"/>
      <w:caps w:val="false"/>
      <w:color w:val="1F2937"/>
      <w:sz w:val="18"/>
      <w:szCs w:val="18"/>
    </w:rPr>
  </w:style>
  <w:style w:type="paragraph" w:styleId="TableText" w:customStyle="true">
    <w:name w:val="Table Text"/>
    <w:basedOn w:val="Normal"/>
    <w:qFormat/>
    <w:pPr>
      <w:spacing w:before="0" w:after="0" w:line="253" w:lineRule="atLeast"/>
      <w:ind w:left="0" w:right="0" w:firstLine="0"/>
      <w:jc w:val="left"/>
    </w:pPr>
    <w:rPr>
      <w:rFonts w:ascii="Inter" w:hAnsi="Inter"/>
      <w:b w:val="false"/>
      <w:bCs w:val="false"/>
      <w:i w:val="false"/>
      <w:iCs w:val="false"/>
      <w:caps w:val="false"/>
      <w:color w:val="1F2937"/>
      <w:sz w:val="18"/>
      <w:szCs w:val="18"/>
    </w:rPr>
  </w:style>
  <w:style w:type="paragraph" w:styleId="TableHeading" w:customStyle="true">
    <w:name w:val="Table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FFFFFF"/>
      <w:sz w:val="18"/>
      <w:szCs w:val="18"/>
    </w:rPr>
  </w:style>
  <w:style w:type="paragraph" w:styleId="TableRowHeading" w:customStyle="true">
    <w:name w:val="Table Row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757575"/>
      <w:sz w:val="18"/>
      <w:szCs w:val="18"/>
    </w:rPr>
  </w:style>
  <w:style w:type="paragraph" w:styleId="Divider" w:customStyle="true">
    <w:name w:val="Divider"/>
    <w:basedOn w:val="Normal"/>
    <w:qFormat/>
    <w:pPr>
      <w:pBdr>
        <w:bottom w:val="single" w:color="D3DBE6" w:sz="6" w:space="0"/>
      </w:pBdr>
      <w:spacing w:before="236" w:after="380" w:line="20" w:lineRule="exact"/>
      <w:ind w:left="0" w:right="0" w:firstLine="0"/>
      <w:jc w:val="left"/>
    </w:pPr>
    <w:rPr>
      <w:rFonts w:ascii="Inter" w:hAnsi="Inter"/>
      <w:b w:val="false"/>
      <w:bCs w:val="false"/>
      <w:i w:val="false"/>
      <w:iCs w:val="false"/>
      <w:caps w:val="false"/>
      <w:color w:val="1F2937"/>
      <w:sz w:val="2"/>
      <w:szCs w:val="2"/>
    </w:rPr>
  </w:style>
  <w:style w:type="paragraph" w:styleId="SceneBreak" w:customStyle="true">
    <w:name w:val="Scene Break"/>
    <w:basedOn w:val="Normal"/>
    <w:qFormat/>
    <w:pPr>
      <w:keepNext/>
      <w:spacing w:before="280" w:after="280" w:line="240" w:lineRule="auto"/>
      <w:ind w:left="0" w:right="0" w:firstLine="0"/>
      <w:jc w:val="center"/>
    </w:pPr>
    <w:rPr>
      <w:rFonts w:ascii="Inter" w:hAnsi="Inter"/>
      <w:b w:val="false"/>
      <w:bCs w:val="false"/>
      <w:i w:val="false"/>
      <w:iCs w:val="false"/>
      <w:caps w:val="false"/>
      <w:color w:val="E8620C"/>
      <w:sz w:val="23"/>
      <w:szCs w:val="23"/>
    </w:rPr>
  </w:style>
  <w:style w:type="paragraph" w:styleId="HeadingBar" w:customStyle="true">
    <w:name w:val="Heading Bar"/>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ChapterNumber" w:customStyle="true">
    <w:name w:val="Chapter Number"/>
    <w:basedOn w:val="Normal"/>
    <w:qFormat/>
    <w:pPr>
      <w:keepNext/>
      <w:suppressAutoHyphens/>
      <w:spacing w:before="1296" w:after="96" w:line="288" w:lineRule="auto"/>
      <w:ind w:left="0" w:right="0" w:firstLine="0"/>
      <w:jc w:val="center"/>
    </w:pPr>
    <w:rPr>
      <w:rFonts w:ascii="Inter" w:hAnsi="Inter"/>
      <w:b w:val="true"/>
      <w:bCs w:val="true"/>
      <w:i w:val="false"/>
      <w:iCs w:val="false"/>
      <w:caps w:val="true"/>
      <w:color w:val="B0460A"/>
      <w:spacing w:val="29"/>
      <w:sz w:val="16"/>
      <w:szCs w:val="16"/>
    </w:rPr>
  </w:style>
  <w:style w:type="paragraph" w:styleId="ChapterTitle" w:customStyle="true">
    <w:name w:val="Chapter Title"/>
    <w:basedOn w:val="Normal"/>
    <w:next w:val="Normal"/>
    <w:qFormat/>
    <w:pPr>
      <w:keepNext/>
      <w:keepLines/>
      <w:suppressAutoHyphens/>
      <w:spacing w:before="0" w:after="320" w:line="602" w:lineRule="atLeast"/>
      <w:ind w:left="0" w:right="0" w:firstLine="0"/>
      <w:jc w:val="center"/>
      <w:outlineLvl w:val="0"/>
    </w:pPr>
    <w:rPr>
      <w:rFonts w:ascii="Inter Tight" w:hAnsi="Inter Tight"/>
      <w:b w:val="true"/>
      <w:bCs w:val="true"/>
      <w:i w:val="false"/>
      <w:iCs w:val="false"/>
      <w:caps w:val="false"/>
      <w:color w:val="0B2350"/>
      <w:spacing w:val="-13"/>
      <w:sz w:val="52"/>
      <w:szCs w:val="52"/>
    </w:rPr>
  </w:style>
  <w:style w:type="paragraph" w:styleId="Title">
    <w:name w:val="Title"/>
    <w:basedOn w:val="Normal"/>
    <w:qFormat/>
    <w:pPr>
      <w:keepNext/>
      <w:suppressAutoHyphens/>
      <w:spacing w:before="0" w:after="0" w:line="758" w:lineRule="atLeast"/>
      <w:ind w:left="0" w:right="0" w:firstLine="0"/>
      <w:jc w:val="left"/>
    </w:pPr>
    <w:rPr>
      <w:rFonts w:ascii="Inter Tight" w:hAnsi="Inter Tight"/>
      <w:b w:val="true"/>
      <w:bCs w:val="true"/>
      <w:i w:val="false"/>
      <w:iCs w:val="false"/>
      <w:caps w:val="false"/>
      <w:color w:val="FFFFFF"/>
      <w:spacing w:val="-18"/>
      <w:sz w:val="70"/>
      <w:szCs w:val="70"/>
    </w:rPr>
  </w:style>
  <w:style w:type="paragraph" w:styleId="Subtitle">
    <w:name w:val="Subtitle"/>
    <w:basedOn w:val="Normal"/>
    <w:qFormat/>
    <w:pPr>
      <w:keepNext/>
      <w:suppressAutoHyphens/>
      <w:spacing w:before="140" w:after="0" w:line="383" w:lineRule="atLeast"/>
      <w:ind w:left="0" w:right="0" w:firstLine="0"/>
      <w:jc w:val="left"/>
    </w:pPr>
    <w:rPr>
      <w:rFonts w:ascii="Inter" w:hAnsi="Inter"/>
      <w:b w:val="false"/>
      <w:bCs w:val="false"/>
      <w:i w:val="false"/>
      <w:iCs w:val="false"/>
      <w:caps w:val="false"/>
      <w:color w:val="FFFFFF"/>
      <w:sz w:val="29"/>
      <w:szCs w:val="29"/>
    </w:rPr>
  </w:style>
  <w:style w:type="paragraph" w:styleId="CoverDescription" w:customStyle="true">
    <w:name w:val="Cover Description"/>
    <w:basedOn w:val="Normal"/>
    <w:qFormat/>
    <w:pPr>
      <w:spacing w:before="280" w:after="0" w:line="300" w:lineRule="atLeast"/>
      <w:ind w:left="0" w:right="0" w:firstLine="0"/>
      <w:jc w:val="left"/>
    </w:pPr>
    <w:rPr>
      <w:rFonts w:ascii="Inter" w:hAnsi="Inter"/>
      <w:b w:val="false"/>
      <w:bCs w:val="false"/>
      <w:i w:val="false"/>
      <w:iCs w:val="false"/>
      <w:caps w:val="false"/>
      <w:color w:val="56606E"/>
      <w:sz w:val="20"/>
      <w:szCs w:val="20"/>
    </w:rPr>
  </w:style>
  <w:style w:type="paragraph" w:styleId="CoverMeta" w:customStyle="true">
    <w:name w:val="Cover Meta"/>
    <w:basedOn w:val="Normal"/>
    <w:qFormat/>
    <w:pPr>
      <w:pBdr>
        <w:top w:val="single" w:color="D3DBE6" w:sz="6" w:space="8"/>
      </w:pBdr>
      <w:spacing w:before="140" w:after="0" w:line="249" w:lineRule="atLeast"/>
      <w:ind w:left="0" w:right="0" w:firstLine="0"/>
      <w:jc w:val="left"/>
    </w:pPr>
    <w:rPr>
      <w:rFonts w:ascii="Inter" w:hAnsi="Inter"/>
      <w:b w:val="false"/>
      <w:bCs w:val="false"/>
      <w:i w:val="false"/>
      <w:iCs w:val="false"/>
      <w:caps w:val="false"/>
      <w:color w:val="56606E"/>
      <w:sz w:val="18"/>
      <w:szCs w:val="18"/>
    </w:rPr>
  </w:style>
  <w:style w:type="paragraph" w:styleId="CoverRule" w:customStyle="true">
    <w:name w:val="Cover Rule"/>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Header">
    <w:name w:val="Head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paragraph" w:styleId="Footer">
    <w:name w:val="Foot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character" w:styleId="InlineCode" w:customStyle="true">
    <w:name w:val="Inline Code"/>
    <w:basedOn w:val="DefaultParagraphFont"/>
    <w:uiPriority w:val="99"/>
    <w:unhideWhenUsed/>
    <w:rPr>
      <w:rFonts w:ascii="JetBrains Mono" w:hAnsi="JetBrains Mono"/>
      <w:color w:val="1F2937"/>
      <w:sz w:val="17"/>
      <w:szCs w:val="17"/>
      <w:shd w:val="clear" w:color="auto" w:fill="F3F6FA"/>
    </w:rPr>
  </w:style>
  <w:style w:type="character" w:styleId="Hyperlink">
    <w:name w:val="Hyperlink"/>
    <w:basedOn w:val="DefaultParagraphFont"/>
    <w:uiPriority w:val="99"/>
    <w:unhideWhenUsed/>
    <w:rPr>
      <w:color w:val="1A56B8"/>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446ca0ba1dcf4fd5" /><Relationship Type="http://schemas.openxmlformats.org/officeDocument/2006/relationships/footer" Target="/word/footer1.xml" Id="R7b244b7d8b344c65" /><Relationship Type="http://schemas.openxmlformats.org/officeDocument/2006/relationships/numbering" Target="/word/numbering.xml" Id="R8cc327317f2c4fe0" /><Relationship Type="http://schemas.openxmlformats.org/officeDocument/2006/relationships/fontTable" Target="/word/fontTable.xml" Id="R2d88918cc6854a76" /><Relationship Type="http://schemas.openxmlformats.org/officeDocument/2006/relationships/settings" Target="/word/settings.xml" Id="R562b044418224152" /></Relationships>
</file>