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943247da61e4398"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shd w:val="clear" w:color="auto" w:fill="151C4F"/>
            <w:tcMar>
              <w:top w:w="1440" w:type="dxa"/>
              <w:left w:w="1440" w:type="dxa"/>
              <w:bottom w:w="1982" w:type="dxa"/>
              <w:right w:w="1440" w:type="dxa"/>
            </w:tcMar>
            <w:vAlign w:val="bottom"/>
          </w:tcPr>
          <w:p>
            <w:pPr>
              <w:pStyle w:val="CoverRule"/>
              <w:keepNext/>
              <w:pBdr>
                <w:bottom w:val="single" w:color="F5A524" w:sz="28" w:space="0"/>
              </w:pBdr>
              <w:spacing w:before="0" w:after="200" w:line="20" w:lineRule="exact"/>
              <w:ind w:left="0" w:right="8506" w:firstLine="0"/>
              <w:rPr>
                <w:sz w:val="2"/>
                <w:szCs w:val="2"/>
              </w:rPr>
            </w:pPr>
          </w:p>
          <w:p>
            <w:pPr>
              <w:pStyle w:val="Title"/>
              <w:jc w:val="left"/>
            </w:pPr>
            <w:r>
              <w:rPr>
                <w:lang w:val="en-US"/>
              </w:rPr>
              <w:t xml:space="preserve">Static Site Generator or Headless CMS for a Marketing Website?</w:t>
            </w:r>
          </w:p>
          <w:p>
            <w:pPr>
              <w:pStyle w:val="CoverMeta"/>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Static Site Generator Overview</w:t>
      </w:r>
    </w:p>
    <w:p>
      <w:pPr>
        <w:pStyle w:val="TOC1"/>
      </w:pPr>
      <w:r>
        <w:rPr>
          <w:lang w:val="en-US"/>
        </w:rPr>
        <w:t xml:space="preserve">Headless CMS Overview</w:t>
      </w:r>
    </w:p>
    <w:p>
      <w:pPr>
        <w:pStyle w:val="TOC1"/>
      </w:pPr>
      <w:r>
        <w:rPr>
          <w:lang w:val="en-US"/>
        </w:rPr>
        <w:t xml:space="preserve">Feature-by-Feature Comparison</w:t>
      </w:r>
    </w:p>
    <w:p>
      <w:pPr>
        <w:pStyle w:val="TOC1"/>
      </w:pPr>
      <w:r>
        <w:rPr>
          <w:lang w:val="en-US"/>
        </w:rPr>
        <w:t xml:space="preserve">Performance and Hosting</w:t>
      </w:r>
    </w:p>
    <w:p>
      <w:pPr>
        <w:pStyle w:val="TOC1"/>
      </w:pPr>
      <w:r>
        <w:rPr>
          <w:lang w:val="en-US"/>
        </w:rPr>
        <w:t xml:space="preserve">Pricing and Value Analysis</w:t>
      </w:r>
    </w:p>
    <w:p>
      <w:pPr>
        <w:pStyle w:val="TOC1"/>
      </w:pPr>
      <w:r>
        <w:rPr>
          <w:lang w:val="en-US"/>
        </w:rPr>
        <w:t xml:space="preserve">User Experience: Authoring, Preview, and Review</w:t>
      </w:r>
    </w:p>
    <w:p>
      <w:pPr>
        <w:pStyle w:val="TOC1"/>
      </w:pPr>
      <w:r>
        <w:rPr>
          <w:lang w:val="en-US"/>
        </w:rPr>
        <w:t xml:space="preserve">Pros and Cons of Each</w:t>
      </w:r>
    </w:p>
    <w:p>
      <w:pPr>
        <w:pStyle w:val="TOC2"/>
      </w:pPr>
      <w:r>
        <w:rPr>
          <w:lang w:val="en-US"/>
        </w:rPr>
        <w:t xml:space="preserve">Static site generator</w:t>
      </w:r>
    </w:p>
    <w:p>
      <w:pPr>
        <w:pStyle w:val="TOC2"/>
      </w:pPr>
      <w:r>
        <w:rPr>
          <w:lang w:val="en-US"/>
        </w:rPr>
        <w:t xml:space="preserve">Headless CMS</w:t>
      </w:r>
    </w:p>
    <w:p>
      <w:pPr>
        <w:pStyle w:val="TOC1"/>
      </w:pPr>
      <w:r>
        <w:rPr>
          <w:lang w:val="en-US"/>
        </w:rPr>
        <w:t xml:space="preserve">Lock-In and Migration Risks</w:t>
      </w:r>
    </w:p>
    <w:p>
      <w:pPr>
        <w:pStyle w:val="TOC1"/>
      </w:pPr>
      <w:r>
        <w:rPr>
          <w:lang w:val="en-US"/>
        </w:rPr>
        <w:t xml:space="preserve">Use Case Recommendations</w:t>
      </w:r>
    </w:p>
    <w:p>
      <w:pPr>
        <w:pStyle w:val="TOC1"/>
      </w:pPr>
      <w:r>
        <w:rPr>
          <w:lang w:val="en-US"/>
        </w:rPr>
        <w:t xml:space="preserve">Quick Comparison Summary</w:t>
      </w:r>
    </w:p>
    <w:p>
      <w:pPr>
        <w:pStyle w:val="TOC1"/>
      </w:pPr>
      <w:r>
        <w:rPr>
          <w:lang w:val="en-US"/>
        </w:rPr>
        <w:t xml:space="preserve">Final Recommendation</w:t>
      </w:r>
    </w:p>
    <w:p>
      <w:r>
        <w:br w:type="page"/>
      </w:r>
    </w:p>
    <w:p>
      <w:pPr>
        <w:pStyle w:val="DocumentTitle"/>
        <w:outlineLvl w:val="0"/>
      </w:pPr>
      <w:r>
        <w:rPr>
          <w:lang w:val="en-US"/>
        </w:rPr>
        <w:t xml:space="preserve">Static Site Generator vs Headless CMS: Which Fits Your Marketing Website?</w:t>
      </w:r>
    </w:p>
    <w:p>
      <w:pPr>
        <w:pStyle w:val="Normal"/>
      </w:pPr>
      <w:r>
        <w:rPr>
          <w:lang w:val="en-US"/>
        </w:rPr>
        <w:t xml:space="preserve">A static site generator (SSG) and a headless content management system (CMS) solve different parts of the marketing website problem. An SSG turns source content and templates into pages during a build. A headless CMS gives teams a content-editing and publishing environment, typically delivering content to a separately built website through an API. They can also be used together.</w:t>
      </w:r>
    </w:p>
    <w:p>
      <w:pPr>
        <w:pStyle w:val="Normal"/>
      </w:pPr>
      <w:r>
        <w:rPr>
          <w:lang w:val="en-US"/>
        </w:rPr>
        <w:t xml:space="preserve">This comparison focuses on six decision criteria: authoring workflow, publishing independence, performance and hosting, preview and review, ongoing cost, and lock-in and migration risk. It considers the operating model rather than ranking specific vendors. The technical framing draws on the </w:t>
      </w:r>
      <w:hyperlink xmlns:r="http://schemas.openxmlformats.org/officeDocument/2006/relationships" w:history="true" r:id="R08bae02187714a6a">
        <w:r>
          <w:rPr>
            <w:rStyle w:val="Hyperlink"/>
            <w:lang w:val="en-US"/>
          </w:rPr>
          <w:t xml:space="preserve">Next.js documentation on static generation</w:t>
        </w:r>
      </w:hyperlink>
      <w:r>
        <w:rPr>
          <w:lang w:val="en-US"/>
        </w:rPr>
        <w:t xml:space="preserve"> (https://nextjs.org/docs/pages/building-your-application/rendering/static-site-generation)</w:t>
      </w:r>
      <w:r>
        <w:rPr>
          <w:lang w:val="en-US"/>
        </w:rPr>
        <w:t xml:space="preserve">, the </w:t>
      </w:r>
      <w:hyperlink xmlns:r="http://schemas.openxmlformats.org/officeDocument/2006/relationships" w:history="true" r:id="Reb4194bb13fa45dc">
        <w:r>
          <w:rPr>
            <w:rStyle w:val="Hyperlink"/>
            <w:lang w:val="en-US"/>
          </w:rPr>
          <w:t xml:space="preserve">MDN Web Docs performance guidance</w:t>
        </w:r>
      </w:hyperlink>
      <w:r>
        <w:rPr>
          <w:lang w:val="en-US"/>
        </w:rPr>
        <w:t xml:space="preserve"> (https://developer.mozilla.org/en-US/docs/Web/Performance)</w:t>
      </w:r>
      <w:r>
        <w:rPr>
          <w:lang w:val="en-US"/>
        </w:rPr>
        <w:t xml:space="preserve">, </w:t>
      </w:r>
      <w:hyperlink xmlns:r="http://schemas.openxmlformats.org/officeDocument/2006/relationships" w:history="true" r:id="Rd3d4aecd3e0648e5">
        <w:r>
          <w:rPr>
            <w:rStyle w:val="Hyperlink"/>
            <w:lang w:val="en-US"/>
          </w:rPr>
          <w:t xml:space="preserve">web.dev performance learning resources</w:t>
        </w:r>
      </w:hyperlink>
      <w:r>
        <w:rPr>
          <w:lang w:val="en-US"/>
        </w:rPr>
        <w:t xml:space="preserve"> (https://web.dev/learn/performance)</w:t>
      </w:r>
      <w:r>
        <w:rPr>
          <w:lang w:val="en-US"/>
        </w:rPr>
        <w:t xml:space="preserve">, and the </w:t>
      </w:r>
      <w:hyperlink xmlns:r="http://schemas.openxmlformats.org/officeDocument/2006/relationships" w:history="true" r:id="R490ebb08820245c6">
        <w:r>
          <w:rPr>
            <w:rStyle w:val="Hyperlink"/>
            <w:lang w:val="en-US"/>
          </w:rPr>
          <w:t xml:space="preserve">Jamstack site</w:t>
        </w:r>
      </w:hyperlink>
      <w:r>
        <w:rPr>
          <w:lang w:val="en-US"/>
        </w:rPr>
        <w:t xml:space="preserve"> (https://jamstack.org/)</w:t>
      </w:r>
      <w:r>
        <w:rPr>
          <w:lang w:val="en-US"/>
        </w:rPr>
        <w:t xml:space="preserve">. Platform capabilities vary, so validate the details against the documentation for the tools you plan to use.</w:t>
      </w:r>
    </w:p>
    <w:p>
      <w:pPr>
        <w:pStyle w:val="Normal"/>
        <w:jc w:val="center"/>
      </w:pPr>
      <w:r>
        <w:drawing>
          <wp:inline xmlns:wp="http://schemas.openxmlformats.org/drawingml/2006/wordprocessingDrawing" distT="0" distB="0" distL="0" distR="0">
            <wp:extent cx="5731510" cy="5731510"/>
            <wp:effectExtent l="0" t="0" r="0" b="0"/>
            <wp:docPr id="1" name="Picture 2" descr="Side-by-side illustration of prebuilt static pages and a headless CMS content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de-by-side illustration of prebuilt static pages and a headless CMS content workflow"/>
                    <pic:cNvPicPr/>
                  </pic:nvPicPr>
                  <pic:blipFill>
                    <a:blip xmlns:r="http://schemas.openxmlformats.org/officeDocument/2006/relationships" r:embed="R926725bb8f434c99"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Both approaches can deliver a marketing website; they differ most in how teams create, approve, and publish content.</w:t>
      </w:r>
    </w:p>
    <w:p>
      <w:pPr>
        <w:pStyle w:val="Heading2"/>
        <w:outlineLvl w:val="1"/>
      </w:pPr>
      <w:r>
        <w:rPr>
          <w:lang w:val="en-US"/>
        </w:rPr>
        <w:t xml:space="preserve">Static Site Generator Overview</w:t>
      </w:r>
    </w:p>
    <w:p>
      <w:pPr>
        <w:pStyle w:val="Normal"/>
      </w:pPr>
      <w:r>
        <w:rPr>
          <w:lang w:val="en-US"/>
        </w:rPr>
        <w:t xml:space="preserve">A static site generator uses templates, content, and application code to produce pages ahead of a visitor's request. Content may live in files, a repository, or an external service. When it changes, a build process regenerates the affected site and publishes the output to a host or content delivery network (CDN). Static generation is a common fit for marketing pages, blogs, and documentation; see the </w:t>
      </w:r>
      <w:hyperlink xmlns:r="http://schemas.openxmlformats.org/officeDocument/2006/relationships" w:history="true" r:id="R133d21003e7943f6">
        <w:r>
          <w:rPr>
            <w:rStyle w:val="Hyperlink"/>
            <w:lang w:val="en-US"/>
          </w:rPr>
          <w:t xml:space="preserve">SSG overview in the Next.js documentation</w:t>
        </w:r>
      </w:hyperlink>
      <w:r>
        <w:rPr>
          <w:lang w:val="en-US"/>
        </w:rPr>
        <w:t xml:space="preserve"> (https://nextjs.org/docs/pages/building-your-application/rendering/static-site-generation)</w:t>
      </w:r>
      <w:r>
        <w:rPr>
          <w:lang w:val="en-US"/>
        </w:rPr>
        <w:t xml:space="preserve">.</w:t>
      </w:r>
    </w:p>
    <w:p>
      <w:pPr>
        <w:pStyle w:val="Normal"/>
      </w:pPr>
      <w:r>
        <w:rPr>
          <w:lang w:val="en-US"/>
        </w:rPr>
        <w:t xml:space="preserve">The key advantage is a relatively direct publishing path from build output to delivery. Pages can be served without running a full application server for every request. But a generator does not automatically provide a friendly editorial environment. If the content workflow relies on files and code review, making a small copy change may involve a developer, repository access, and a deployment.</w:t>
      </w:r>
    </w:p>
    <w:p>
      <w:pPr>
        <w:pStyle w:val="Normal"/>
      </w:pPr>
      <w:r>
        <w:rPr>
          <w:lang w:val="en-US"/>
        </w:rPr>
        <w:t xml:space="preserve">That trade-off can work well when a site changes infrequently, the team is comfortable with a code-based workflow, or engineering wants close control over templates and content structure. It becomes less attractive when marketers need to create and publish campaigns independently.</w:t>
      </w:r>
    </w:p>
    <w:p>
      <w:pPr>
        <w:pStyle w:val="Heading2"/>
        <w:outlineLvl w:val="1"/>
      </w:pPr>
      <w:r>
        <w:rPr>
          <w:lang w:val="en-US"/>
        </w:rPr>
        <w:t xml:space="preserve">Headless CMS Overview</w:t>
      </w:r>
    </w:p>
    <w:p>
      <w:pPr>
        <w:pStyle w:val="Normal"/>
      </w:pPr>
      <w:r>
        <w:rPr>
          <w:lang w:val="en-US"/>
        </w:rPr>
        <w:t xml:space="preserve">A headless CMS separates content management from the website's presentation layer. Editors work in a dedicated interface, while the website retrieves content through an API or a connected build process. Content can be structured into reusable fields and delivered to more than one channel, depending on the platform and implementation. The </w:t>
      </w:r>
      <w:hyperlink xmlns:r="http://schemas.openxmlformats.org/officeDocument/2006/relationships" w:history="true" r:id="Ref410016f3904a1d">
        <w:r>
          <w:rPr>
            <w:rStyle w:val="Hyperlink"/>
            <w:lang w:val="en-US"/>
          </w:rPr>
          <w:t xml:space="preserve">Contentful developer documentation</w:t>
        </w:r>
      </w:hyperlink>
      <w:r>
        <w:rPr>
          <w:lang w:val="en-US"/>
        </w:rPr>
        <w:t xml:space="preserve"> (https://www.contentful.com/developers/docs/)</w:t>
      </w:r>
      <w:r>
        <w:rPr>
          <w:lang w:val="en-US"/>
        </w:rPr>
        <w:t xml:space="preserve"> describes one platform's APIs and integration options; it is an example, not a requirement to choose that product.</w:t>
      </w:r>
    </w:p>
    <w:p>
      <w:pPr>
        <w:pStyle w:val="Normal"/>
      </w:pPr>
      <w:r>
        <w:rPr>
          <w:lang w:val="en-US"/>
        </w:rPr>
        <w:t xml:space="preserve">A CMS changes the content workflow, but it does not remove the need to build and operate the website. Developers still create templates, connect content models, handle integrations, and establish publishing rules. Some architectures rebuild the site when content changes; others fetch some or all content at request time. The delivery model affects performance, hosting, and preview behavior.</w:t>
      </w:r>
    </w:p>
    <w:p>
      <w:pPr>
        <w:pStyle w:val="Normal"/>
      </w:pPr>
      <w:r>
        <w:rPr>
          <w:lang w:val="en-US"/>
        </w:rPr>
        <w:t xml:space="preserve">This approach tends to suit teams with regular publishing, multiple content contributors, approval requirements, or a need to reuse content. Its benefits depend on whether the editing interface, roles, and workflows fit the team. A CMS that adds complexity without giving editors useful independence can cost more than it saves.</w:t>
      </w:r>
    </w:p>
    <w:p>
      <w:pPr>
        <w:pStyle w:val="Normal"/>
        <w:jc w:val="center"/>
      </w:pPr>
      <w:r>
        <w:drawing>
          <wp:inline xmlns:wp="http://schemas.openxmlformats.org/drawingml/2006/wordprocessingDrawing" distT="0" distB="0" distL="0" distR="0">
            <wp:extent cx="5731510" cy="5731510"/>
            <wp:effectExtent l="0" t="0" r="0" b="0"/>
            <wp:docPr id="2" name="Picture 3" descr="Marketing editor and developer collaborating on a headless CMS publishing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ing editor and developer collaborating on a headless CMS publishing workflow"/>
                    <pic:cNvPicPr/>
                  </pic:nvPicPr>
                  <pic:blipFill>
                    <a:blip xmlns:r="http://schemas.openxmlformats.org/officeDocument/2006/relationships" r:embed="Rac74d1f376b54903"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A headless CMS can give nontechnical contributors a dedicated place to author and manage content.</w:t>
      </w:r>
    </w:p>
    <w:p>
      <w:pPr>
        <w:pStyle w:val="Heading2"/>
        <w:outlineLvl w:val="1"/>
      </w:pPr>
      <w:r>
        <w:rPr>
          <w:lang w:val="en-US"/>
        </w:rPr>
        <w:t xml:space="preserve">Feature-by-Feature Comparison</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2257"/>
        <w:gridCol w:w="2257"/>
        <w:gridCol w:w="2256"/>
        <w:gridCol w:w="2256"/>
      </w:tblGrid>
      <w:tr>
        <w:trPr>
          <w:cantSplit/>
          <w:tblHeader/>
        </w:trPr>
        <w:tc>
          <w:tcPr>
            <w:tcW w:w="2257"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Criterion</w:t>
            </w:r>
          </w:p>
        </w:tc>
        <w:tc>
          <w:tcPr>
            <w:tcW w:w="2257" w:type="dxa"/>
            <w:tcBorders>
              <w:bottom w:val="single" w:color="1A237E" w:sz="11" w:space="0"/>
            </w:tcBorders>
          </w:tcPr>
          <w:p>
            <w:pPr>
              <w:pStyle w:val="TableHeading"/>
              <w:spacing w:before="0" w:after="0" w:line="240" w:lineRule="auto"/>
              <w:ind w:left="0" w:right="0" w:firstLine="0"/>
              <w:jc w:val="left"/>
            </w:pPr>
            <w:r>
              <w:rPr>
                <w:b/>
                <w:lang w:val="en-US"/>
              </w:rPr>
              <w:t xml:space="preserve">Static site generator</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Headless CMS</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Likely advantage</w:t>
            </w:r>
          </w:p>
        </w:tc>
      </w:tr>
      <w:tr>
        <w:trPr>
          <w:cantSplit/>
        </w:trPr>
        <w:tc>
          <w:tcPr>
            <w:tcW w:w="2257" w:type="dxa"/>
            <w:tcMar>
              <w:left w:w="0" w:type="dxa"/>
            </w:tcMar>
          </w:tcPr>
          <w:p>
            <w:pPr>
              <w:pStyle w:val="TableRowHeading"/>
              <w:spacing w:before="0" w:after="0" w:line="240" w:lineRule="auto"/>
              <w:ind w:left="0" w:right="0" w:firstLine="0"/>
              <w:jc w:val="left"/>
            </w:pPr>
            <w:r>
              <w:rPr>
                <w:b/>
                <w:lang w:val="en-US"/>
              </w:rPr>
              <w:t xml:space="preserve">Authoring workflow</w:t>
            </w:r>
          </w:p>
        </w:tc>
        <w:tc>
          <w:tcPr>
            <w:tcW w:w="2257" w:type="dxa"/>
          </w:tcPr>
          <w:p>
            <w:pPr>
              <w:pStyle w:val="TableText"/>
              <w:spacing w:before="0" w:after="0" w:line="240" w:lineRule="auto"/>
              <w:ind w:left="0" w:right="0" w:firstLine="0"/>
              <w:jc w:val="left"/>
            </w:pPr>
            <w:r>
              <w:rPr>
                <w:lang w:val="en-US"/>
              </w:rPr>
              <w:t xml:space="preserve">Often files, code review, or an added editor</w:t>
            </w:r>
          </w:p>
        </w:tc>
        <w:tc>
          <w:tcPr>
            <w:tcW w:w="2256" w:type="dxa"/>
          </w:tcPr>
          <w:p>
            <w:pPr>
              <w:pStyle w:val="TableText"/>
              <w:spacing w:before="0" w:after="0" w:line="240" w:lineRule="auto"/>
              <w:ind w:left="0" w:right="0" w:firstLine="0"/>
              <w:jc w:val="left"/>
            </w:pPr>
            <w:r>
              <w:rPr>
                <w:lang w:val="en-US"/>
              </w:rPr>
              <w:t xml:space="preserve">Structured content in an editorial interface</w:t>
            </w:r>
          </w:p>
        </w:tc>
        <w:tc>
          <w:tcPr>
            <w:tcW w:w="2256" w:type="dxa"/>
          </w:tcPr>
          <w:p>
            <w:pPr>
              <w:pStyle w:val="TableText"/>
              <w:spacing w:before="0" w:after="0" w:line="240" w:lineRule="auto"/>
              <w:ind w:left="0" w:right="0" w:firstLine="0"/>
              <w:jc w:val="left"/>
            </w:pPr>
            <w:r>
              <w:rPr>
                <w:lang w:val="en-US"/>
              </w:rPr>
              <w:t xml:space="preserve">CMS for frequent nontechnical editing</w:t>
            </w:r>
          </w:p>
        </w:tc>
      </w:tr>
      <w:tr>
        <w:trPr>
          <w:cantSplit/>
        </w:trPr>
        <w:tc>
          <w:tcPr>
            <w:tcW w:w="2257" w:type="dxa"/>
            <w:tcMar>
              <w:left w:w="0" w:type="dxa"/>
            </w:tcMar>
          </w:tcPr>
          <w:p>
            <w:pPr>
              <w:pStyle w:val="TableRowHeading"/>
              <w:spacing w:before="0" w:after="0" w:line="240" w:lineRule="auto"/>
              <w:ind w:left="0" w:right="0" w:firstLine="0"/>
              <w:jc w:val="left"/>
            </w:pPr>
            <w:r>
              <w:rPr>
                <w:b/>
                <w:lang w:val="en-US"/>
              </w:rPr>
              <w:t xml:space="preserve">Publish without a developer</w:t>
            </w:r>
          </w:p>
        </w:tc>
        <w:tc>
          <w:tcPr>
            <w:tcW w:w="2257" w:type="dxa"/>
          </w:tcPr>
          <w:p>
            <w:pPr>
              <w:pStyle w:val="TableText"/>
              <w:spacing w:before="0" w:after="0" w:line="240" w:lineRule="auto"/>
              <w:ind w:left="0" w:right="0" w:firstLine="0"/>
              <w:jc w:val="left"/>
            </w:pPr>
            <w:r>
              <w:rPr>
                <w:lang w:val="en-US"/>
              </w:rPr>
              <w:t xml:space="preserve">Depends on the setup; often limited by default</w:t>
            </w:r>
          </w:p>
        </w:tc>
        <w:tc>
          <w:tcPr>
            <w:tcW w:w="2256" w:type="dxa"/>
          </w:tcPr>
          <w:p>
            <w:pPr>
              <w:pStyle w:val="TableText"/>
              <w:spacing w:before="0" w:after="0" w:line="240" w:lineRule="auto"/>
              <w:ind w:left="0" w:right="0" w:firstLine="0"/>
              <w:jc w:val="left"/>
            </w:pPr>
            <w:r>
              <w:rPr>
                <w:lang w:val="en-US"/>
              </w:rPr>
              <w:t xml:space="preserve">Possible when roles and publishing are configured</w:t>
            </w:r>
          </w:p>
        </w:tc>
        <w:tc>
          <w:tcPr>
            <w:tcW w:w="2256" w:type="dxa"/>
          </w:tcPr>
          <w:p>
            <w:pPr>
              <w:pStyle w:val="TableText"/>
              <w:spacing w:before="0" w:after="0" w:line="240" w:lineRule="auto"/>
              <w:ind w:left="0" w:right="0" w:firstLine="0"/>
              <w:jc w:val="left"/>
            </w:pPr>
            <w:r>
              <w:rPr>
                <w:lang w:val="en-US"/>
              </w:rPr>
              <w:t xml:space="preserve">CMS</w:t>
            </w:r>
          </w:p>
        </w:tc>
      </w:tr>
      <w:tr>
        <w:trPr>
          <w:cantSplit/>
        </w:trPr>
        <w:tc>
          <w:tcPr>
            <w:tcW w:w="2257" w:type="dxa"/>
            <w:tcMar>
              <w:left w:w="0" w:type="dxa"/>
            </w:tcMar>
          </w:tcPr>
          <w:p>
            <w:pPr>
              <w:pStyle w:val="TableRowHeading"/>
              <w:spacing w:before="0" w:after="0" w:line="240" w:lineRule="auto"/>
              <w:ind w:left="0" w:right="0" w:firstLine="0"/>
              <w:jc w:val="left"/>
            </w:pPr>
            <w:r>
              <w:rPr>
                <w:b/>
                <w:lang w:val="en-US"/>
              </w:rPr>
              <w:t xml:space="preserve">Delivery and hosting</w:t>
            </w:r>
          </w:p>
        </w:tc>
        <w:tc>
          <w:tcPr>
            <w:tcW w:w="2257" w:type="dxa"/>
          </w:tcPr>
          <w:p>
            <w:pPr>
              <w:pStyle w:val="TableText"/>
              <w:spacing w:before="0" w:after="0" w:line="240" w:lineRule="auto"/>
              <w:ind w:left="0" w:right="0" w:firstLine="0"/>
              <w:jc w:val="left"/>
            </w:pPr>
            <w:r>
              <w:rPr>
                <w:lang w:val="en-US"/>
              </w:rPr>
              <w:t xml:space="preserve">Prebuilt pages can use simple static hosting</w:t>
            </w:r>
          </w:p>
        </w:tc>
        <w:tc>
          <w:tcPr>
            <w:tcW w:w="2256" w:type="dxa"/>
          </w:tcPr>
          <w:p>
            <w:pPr>
              <w:pStyle w:val="TableText"/>
              <w:spacing w:before="0" w:after="0" w:line="240" w:lineRule="auto"/>
              <w:ind w:left="0" w:right="0" w:firstLine="0"/>
              <w:jc w:val="left"/>
            </w:pPr>
            <w:r>
              <w:rPr>
                <w:lang w:val="en-US"/>
              </w:rPr>
              <w:t xml:space="preserve">Depends on static builds, runtime APIs, or both</w:t>
            </w:r>
          </w:p>
        </w:tc>
        <w:tc>
          <w:tcPr>
            <w:tcW w:w="2256" w:type="dxa"/>
          </w:tcPr>
          <w:p>
            <w:pPr>
              <w:pStyle w:val="TableText"/>
              <w:spacing w:before="0" w:after="0" w:line="240" w:lineRule="auto"/>
              <w:ind w:left="0" w:right="0" w:firstLine="0"/>
              <w:jc w:val="left"/>
            </w:pPr>
            <w:r>
              <w:rPr>
                <w:lang w:val="en-US"/>
              </w:rPr>
              <w:t xml:space="preserve">SSG for simpler delivery</w:t>
            </w:r>
          </w:p>
        </w:tc>
      </w:tr>
      <w:tr>
        <w:trPr>
          <w:cantSplit/>
        </w:trPr>
        <w:tc>
          <w:tcPr>
            <w:tcW w:w="2257" w:type="dxa"/>
            <w:tcMar>
              <w:left w:w="0" w:type="dxa"/>
            </w:tcMar>
          </w:tcPr>
          <w:p>
            <w:pPr>
              <w:pStyle w:val="TableRowHeading"/>
              <w:spacing w:before="0" w:after="0" w:line="240" w:lineRule="auto"/>
              <w:ind w:left="0" w:right="0" w:firstLine="0"/>
              <w:jc w:val="left"/>
            </w:pPr>
            <w:r>
              <w:rPr>
                <w:b/>
                <w:lang w:val="en-US"/>
              </w:rPr>
              <w:t xml:space="preserve">Preview and review</w:t>
            </w:r>
          </w:p>
        </w:tc>
        <w:tc>
          <w:tcPr>
            <w:tcW w:w="2257" w:type="dxa"/>
          </w:tcPr>
          <w:p>
            <w:pPr>
              <w:pStyle w:val="TableText"/>
              <w:spacing w:before="0" w:after="0" w:line="240" w:lineRule="auto"/>
              <w:ind w:left="0" w:right="0" w:firstLine="0"/>
              <w:jc w:val="left"/>
            </w:pPr>
            <w:r>
              <w:rPr>
                <w:lang w:val="en-US"/>
              </w:rPr>
              <w:t xml:space="preserve">May require preview builds or code review</w:t>
            </w:r>
          </w:p>
        </w:tc>
        <w:tc>
          <w:tcPr>
            <w:tcW w:w="2256" w:type="dxa"/>
          </w:tcPr>
          <w:p>
            <w:pPr>
              <w:pStyle w:val="TableText"/>
              <w:spacing w:before="0" w:after="0" w:line="240" w:lineRule="auto"/>
              <w:ind w:left="0" w:right="0" w:firstLine="0"/>
              <w:jc w:val="left"/>
            </w:pPr>
            <w:r>
              <w:rPr>
                <w:lang w:val="en-US"/>
              </w:rPr>
              <w:t xml:space="preserve">Can support editorial previews and approvals</w:t>
            </w:r>
          </w:p>
        </w:tc>
        <w:tc>
          <w:tcPr>
            <w:tcW w:w="2256" w:type="dxa"/>
          </w:tcPr>
          <w:p>
            <w:pPr>
              <w:pStyle w:val="TableText"/>
              <w:spacing w:before="0" w:after="0" w:line="240" w:lineRule="auto"/>
              <w:ind w:left="0" w:right="0" w:firstLine="0"/>
              <w:jc w:val="left"/>
            </w:pPr>
            <w:r>
              <w:rPr>
                <w:lang w:val="en-US"/>
              </w:rPr>
              <w:t xml:space="preserve">CMS when workflows are configured</w:t>
            </w:r>
          </w:p>
        </w:tc>
      </w:tr>
      <w:tr>
        <w:trPr>
          <w:cantSplit/>
        </w:trPr>
        <w:tc>
          <w:tcPr>
            <w:tcW w:w="2257" w:type="dxa"/>
            <w:tcMar>
              <w:left w:w="0" w:type="dxa"/>
            </w:tcMar>
          </w:tcPr>
          <w:p>
            <w:pPr>
              <w:pStyle w:val="TableRowHeading"/>
              <w:spacing w:before="0" w:after="0" w:line="240" w:lineRule="auto"/>
              <w:ind w:left="0" w:right="0" w:firstLine="0"/>
              <w:jc w:val="left"/>
            </w:pPr>
            <w:r>
              <w:rPr>
                <w:b/>
                <w:lang w:val="en-US"/>
              </w:rPr>
              <w:t xml:space="preserve">Ownership cost</w:t>
            </w:r>
          </w:p>
        </w:tc>
        <w:tc>
          <w:tcPr>
            <w:tcW w:w="2257" w:type="dxa"/>
          </w:tcPr>
          <w:p>
            <w:pPr>
              <w:pStyle w:val="TableText"/>
              <w:spacing w:before="0" w:after="0" w:line="240" w:lineRule="auto"/>
              <w:ind w:left="0" w:right="0" w:firstLine="0"/>
              <w:jc w:val="left"/>
            </w:pPr>
            <w:r>
              <w:rPr>
                <w:lang w:val="en-US"/>
              </w:rPr>
              <w:t xml:space="preserve">Can reduce service costs but needs engineering time</w:t>
            </w:r>
          </w:p>
        </w:tc>
        <w:tc>
          <w:tcPr>
            <w:tcW w:w="2256" w:type="dxa"/>
          </w:tcPr>
          <w:p>
            <w:pPr>
              <w:pStyle w:val="TableText"/>
              <w:spacing w:before="0" w:after="0" w:line="240" w:lineRule="auto"/>
              <w:ind w:left="0" w:right="0" w:firstLine="0"/>
              <w:jc w:val="left"/>
            </w:pPr>
            <w:r>
              <w:rPr>
                <w:lang w:val="en-US"/>
              </w:rPr>
              <w:t xml:space="preserve">Can reduce editorial friction but adds platform costs</w:t>
            </w:r>
          </w:p>
        </w:tc>
        <w:tc>
          <w:tcPr>
            <w:tcW w:w="2256" w:type="dxa"/>
          </w:tcPr>
          <w:p>
            <w:pPr>
              <w:pStyle w:val="TableText"/>
              <w:spacing w:before="0" w:after="0" w:line="240" w:lineRule="auto"/>
              <w:ind w:left="0" w:right="0" w:firstLine="0"/>
              <w:jc w:val="left"/>
            </w:pPr>
            <w:r>
              <w:rPr>
                <w:lang w:val="en-US"/>
              </w:rPr>
              <w:t xml:space="preserve">Depends on labor and publishing volume</w:t>
            </w:r>
          </w:p>
        </w:tc>
      </w:tr>
      <w:tr>
        <w:trPr>
          <w:cantSplit/>
        </w:trPr>
        <w:tc>
          <w:tcPr>
            <w:tcW w:w="2257" w:type="dxa"/>
            <w:tcMar>
              <w:left w:w="0" w:type="dxa"/>
            </w:tcMar>
          </w:tcPr>
          <w:p>
            <w:pPr>
              <w:pStyle w:val="TableRowHeading"/>
              <w:spacing w:before="0" w:after="0" w:line="240" w:lineRule="auto"/>
              <w:ind w:left="0" w:right="0" w:firstLine="0"/>
              <w:jc w:val="left"/>
            </w:pPr>
            <w:r>
              <w:rPr>
                <w:b/>
                <w:lang w:val="en-US"/>
              </w:rPr>
              <w:t xml:space="preserve">Migration risk</w:t>
            </w:r>
          </w:p>
        </w:tc>
        <w:tc>
          <w:tcPr>
            <w:tcW w:w="2257" w:type="dxa"/>
          </w:tcPr>
          <w:p>
            <w:pPr>
              <w:pStyle w:val="TableText"/>
              <w:spacing w:before="0" w:after="0" w:line="240" w:lineRule="auto"/>
              <w:ind w:left="0" w:right="0" w:firstLine="0"/>
              <w:jc w:val="left"/>
            </w:pPr>
            <w:r>
              <w:rPr>
                <w:lang w:val="en-US"/>
              </w:rPr>
              <w:t xml:space="preserve">Content may be tied to custom code or file formats</w:t>
            </w:r>
          </w:p>
        </w:tc>
        <w:tc>
          <w:tcPr>
            <w:tcW w:w="2256" w:type="dxa"/>
          </w:tcPr>
          <w:p>
            <w:pPr>
              <w:pStyle w:val="TableText"/>
              <w:spacing w:before="0" w:after="0" w:line="240" w:lineRule="auto"/>
              <w:ind w:left="0" w:right="0" w:firstLine="0"/>
              <w:jc w:val="left"/>
            </w:pPr>
            <w:r>
              <w:rPr>
                <w:lang w:val="en-US"/>
              </w:rPr>
              <w:t xml:space="preserve">Content models and APIs can create vendor dependency</w:t>
            </w:r>
          </w:p>
        </w:tc>
        <w:tc>
          <w:tcPr>
            <w:tcW w:w="2256" w:type="dxa"/>
          </w:tcPr>
          <w:p>
            <w:pPr>
              <w:pStyle w:val="TableText"/>
              <w:spacing w:before="0" w:after="0" w:line="240" w:lineRule="auto"/>
              <w:ind w:left="0" w:right="0" w:firstLine="0"/>
              <w:jc w:val="left"/>
            </w:pPr>
            <w:r>
              <w:rPr>
                <w:lang w:val="en-US"/>
              </w:rPr>
              <w:t xml:space="preserve">No universal winner</w:t>
            </w:r>
          </w:p>
        </w:tc>
      </w:tr>
    </w:tbl>
    <w:p>
      <w:pPr>
        <w:pStyle w:val="Normal"/>
      </w:pPr>
      <w:r>
        <w:rPr>
          <w:b/>
          <w:lang w:val="en-US"/>
        </w:rPr>
        <w:t xml:space="preserve">Category winners:</w:t>
      </w:r>
      <w:r>
        <w:rPr>
          <w:lang w:val="en-US"/>
        </w:rPr>
        <w:t xml:space="preserve"> An SSG usually wins for a lean, developer-managed site with straightforward delivery. A headless CMS usually wins for an active content team that needs a reliable authoring and approval workflow. Neither automatically wins on security or compliance: assess access controls, audit capabilities, data handling, and operational responsibilities for the actual implementation.</w:t>
      </w:r>
    </w:p>
    <w:p>
      <w:pPr>
        <w:pStyle w:val="Heading2"/>
        <w:outlineLvl w:val="1"/>
      </w:pPr>
      <w:r>
        <w:rPr>
          <w:lang w:val="en-US"/>
        </w:rPr>
        <w:t xml:space="preserve">Performance and Hosting</w:t>
      </w:r>
    </w:p>
    <w:p>
      <w:pPr>
        <w:pStyle w:val="Normal"/>
      </w:pPr>
      <w:r>
        <w:rPr>
          <w:lang w:val="en-US"/>
        </w:rPr>
        <w:t xml:space="preserve">Static generation can make delivery straightforward: the build produces pages that a CDN or static host can serve directly. This reduces the need to render each page dynamically for each visit. It does not guarantee a fast site, though. Heavy images, large JavaScript bundles, third-party scripts, and slow client-side rendering can still harm the experience. The </w:t>
      </w:r>
      <w:hyperlink xmlns:r="http://schemas.openxmlformats.org/officeDocument/2006/relationships" w:history="true" r:id="R0457a2bfc41f44f1">
        <w:r>
          <w:rPr>
            <w:rStyle w:val="Hyperlink"/>
            <w:lang w:val="en-US"/>
          </w:rPr>
          <w:t xml:space="preserve">MDN Web Docs performance resources</w:t>
        </w:r>
      </w:hyperlink>
      <w:r>
        <w:rPr>
          <w:lang w:val="en-US"/>
        </w:rPr>
        <w:t xml:space="preserve"> (https://developer.mozilla.org/en-US/docs/Web/Performance)</w:t>
      </w:r>
      <w:r>
        <w:rPr>
          <w:lang w:val="en-US"/>
        </w:rPr>
        <w:t xml:space="preserve"> and </w:t>
      </w:r>
      <w:hyperlink xmlns:r="http://schemas.openxmlformats.org/officeDocument/2006/relationships" w:history="true" r:id="R16e2a909e01f458b">
        <w:r>
          <w:rPr>
            <w:rStyle w:val="Hyperlink"/>
            <w:lang w:val="en-US"/>
          </w:rPr>
          <w:t xml:space="preserve">web.dev</w:t>
        </w:r>
      </w:hyperlink>
      <w:r>
        <w:rPr>
          <w:lang w:val="en-US"/>
        </w:rPr>
        <w:t xml:space="preserve"> (https://web.dev/learn/performance)</w:t>
      </w:r>
      <w:r>
        <w:rPr>
          <w:lang w:val="en-US"/>
        </w:rPr>
        <w:t xml:space="preserve"> offer guidance on measuring and improving these factors.</w:t>
      </w:r>
    </w:p>
    <w:p>
      <w:pPr>
        <w:pStyle w:val="Normal"/>
      </w:pPr>
      <w:r>
        <w:rPr>
          <w:lang w:val="en-US"/>
        </w:rPr>
        <w:t xml:space="preserve">A headless CMS does not inherently make a site slower. If content is fetched during a build and pages are then served statically, delivery can resemble an SSG-only site. If pages depend on runtime API calls, performance also depends on the CMS endpoint, caching, network conditions, and application design. Preview functionality may use a different route from the public site, so test both.</w:t>
      </w:r>
    </w:p>
    <w:p>
      <w:pPr>
        <w:pStyle w:val="Normal"/>
      </w:pPr>
      <w:r>
        <w:rPr>
          <w:lang w:val="en-US"/>
        </w:rPr>
        <w:t xml:space="preserve">The qualitative comparison below describes common tendencies, not benchmark results. Measure representative pages and user journeys before selecting an architecture.</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2257"/>
        <w:gridCol w:w="2257"/>
        <w:gridCol w:w="2256"/>
        <w:gridCol w:w="2256"/>
      </w:tblGrid>
      <w:tr>
        <w:trPr>
          <w:cantSplit/>
          <w:tblHeader/>
        </w:trPr>
        <w:tc>
          <w:tcPr>
            <w:tcW w:w="2257"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Delivery pattern</w:t>
            </w:r>
          </w:p>
        </w:tc>
        <w:tc>
          <w:tcPr>
            <w:tcW w:w="2257" w:type="dxa"/>
            <w:tcBorders>
              <w:bottom w:val="single" w:color="1A237E" w:sz="11" w:space="0"/>
            </w:tcBorders>
          </w:tcPr>
          <w:p>
            <w:pPr>
              <w:pStyle w:val="TableHeading"/>
              <w:spacing w:before="0" w:after="0" w:line="240" w:lineRule="auto"/>
              <w:ind w:left="0" w:right="0" w:firstLine="0"/>
              <w:jc w:val="left"/>
            </w:pPr>
            <w:r>
              <w:rPr>
                <w:b/>
                <w:lang w:val="en-US"/>
              </w:rPr>
              <w:t xml:space="preserve">Request-time work</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Hosting complexity</w:t>
            </w:r>
          </w:p>
        </w:tc>
        <w:tc>
          <w:tcPr>
            <w:tcW w:w="2256" w:type="dxa"/>
            <w:tcBorders>
              <w:bottom w:val="single" w:color="1A237E" w:sz="11" w:space="0"/>
            </w:tcBorders>
          </w:tcPr>
          <w:p>
            <w:pPr>
              <w:pStyle w:val="TableHeading"/>
              <w:spacing w:before="0" w:after="0" w:line="240" w:lineRule="auto"/>
              <w:ind w:left="0" w:right="0" w:firstLine="0"/>
              <w:jc w:val="left"/>
            </w:pPr>
            <w:r>
              <w:rPr>
                <w:b/>
                <w:lang w:val="en-US"/>
              </w:rPr>
              <w:t xml:space="preserve">Performance considerations</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SSG with static hosting</w:t>
            </w:r>
          </w:p>
        </w:tc>
        <w:tc>
          <w:tcPr>
            <w:tcW w:w="2257" w:type="dxa"/>
          </w:tcPr>
          <w:p>
            <w:pPr>
              <w:pStyle w:val="TableText"/>
              <w:spacing w:before="0" w:after="0" w:line="240" w:lineRule="auto"/>
              <w:ind w:left="0" w:right="0" w:firstLine="0"/>
              <w:jc w:val="left"/>
            </w:pPr>
            <w:r>
              <w:rPr>
                <w:lang w:val="en-US"/>
              </w:rPr>
              <w:t xml:space="preserve">Usually low for page delivery</w:t>
            </w:r>
          </w:p>
        </w:tc>
        <w:tc>
          <w:tcPr>
            <w:tcW w:w="2256" w:type="dxa"/>
          </w:tcPr>
          <w:p>
            <w:pPr>
              <w:pStyle w:val="TableText"/>
              <w:spacing w:before="0" w:after="0" w:line="240" w:lineRule="auto"/>
              <w:ind w:left="0" w:right="0" w:firstLine="0"/>
              <w:jc w:val="left"/>
            </w:pPr>
            <w:r>
              <w:rPr>
                <w:lang w:val="en-US"/>
              </w:rPr>
              <w:t xml:space="preserve">Often low</w:t>
            </w:r>
          </w:p>
        </w:tc>
        <w:tc>
          <w:tcPr>
            <w:tcW w:w="2256" w:type="dxa"/>
          </w:tcPr>
          <w:p>
            <w:pPr>
              <w:pStyle w:val="TableText"/>
              <w:spacing w:before="0" w:after="0" w:line="240" w:lineRule="auto"/>
              <w:ind w:left="0" w:right="0" w:firstLine="0"/>
              <w:jc w:val="left"/>
            </w:pPr>
            <w:r>
              <w:rPr>
                <w:lang w:val="en-US"/>
              </w:rPr>
              <w:t xml:space="preserve">Optimize assets, scripts, and build output</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CMS-triggered static build</w:t>
            </w:r>
          </w:p>
        </w:tc>
        <w:tc>
          <w:tcPr>
            <w:tcW w:w="2257" w:type="dxa"/>
          </w:tcPr>
          <w:p>
            <w:pPr>
              <w:pStyle w:val="TableText"/>
              <w:spacing w:before="0" w:after="0" w:line="240" w:lineRule="auto"/>
              <w:ind w:left="0" w:right="0" w:firstLine="0"/>
              <w:jc w:val="left"/>
            </w:pPr>
            <w:r>
              <w:rPr>
                <w:lang w:val="en-US"/>
              </w:rPr>
              <w:t xml:space="preserve">Usually low after publishing</w:t>
            </w:r>
          </w:p>
        </w:tc>
        <w:tc>
          <w:tcPr>
            <w:tcW w:w="2256" w:type="dxa"/>
          </w:tcPr>
          <w:p>
            <w:pPr>
              <w:pStyle w:val="TableText"/>
              <w:spacing w:before="0" w:after="0" w:line="240" w:lineRule="auto"/>
              <w:ind w:left="0" w:right="0" w:firstLine="0"/>
              <w:jc w:val="left"/>
            </w:pPr>
            <w:r>
              <w:rPr>
                <w:lang w:val="en-US"/>
              </w:rPr>
              <w:t xml:space="preserve">Moderate: CMS plus build and hosting</w:t>
            </w:r>
          </w:p>
        </w:tc>
        <w:tc>
          <w:tcPr>
            <w:tcW w:w="2256" w:type="dxa"/>
          </w:tcPr>
          <w:p>
            <w:pPr>
              <w:pStyle w:val="TableText"/>
              <w:spacing w:before="0" w:after="0" w:line="240" w:lineRule="auto"/>
              <w:ind w:left="0" w:right="0" w:firstLine="0"/>
              <w:jc w:val="left"/>
            </w:pPr>
            <w:r>
              <w:rPr>
                <w:lang w:val="en-US"/>
              </w:rPr>
              <w:t xml:space="preserve">Build duration and content freshness matter</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Runtime CMS delivery</w:t>
            </w:r>
          </w:p>
        </w:tc>
        <w:tc>
          <w:tcPr>
            <w:tcW w:w="2257" w:type="dxa"/>
          </w:tcPr>
          <w:p>
            <w:pPr>
              <w:pStyle w:val="TableText"/>
              <w:spacing w:before="0" w:after="0" w:line="240" w:lineRule="auto"/>
              <w:ind w:left="0" w:right="0" w:firstLine="0"/>
              <w:jc w:val="left"/>
            </w:pPr>
            <w:r>
              <w:rPr>
                <w:lang w:val="en-US"/>
              </w:rPr>
              <w:t xml:space="preserve">Higher when pages fetch content per request</w:t>
            </w:r>
          </w:p>
        </w:tc>
        <w:tc>
          <w:tcPr>
            <w:tcW w:w="2256" w:type="dxa"/>
          </w:tcPr>
          <w:p>
            <w:pPr>
              <w:pStyle w:val="TableText"/>
              <w:spacing w:before="0" w:after="0" w:line="240" w:lineRule="auto"/>
              <w:ind w:left="0" w:right="0" w:firstLine="0"/>
              <w:jc w:val="left"/>
            </w:pPr>
            <w:r>
              <w:rPr>
                <w:lang w:val="en-US"/>
              </w:rPr>
              <w:t xml:space="preserve">Moderate to high</w:t>
            </w:r>
          </w:p>
        </w:tc>
        <w:tc>
          <w:tcPr>
            <w:tcW w:w="2256" w:type="dxa"/>
          </w:tcPr>
          <w:p>
            <w:pPr>
              <w:pStyle w:val="TableText"/>
              <w:spacing w:before="0" w:after="0" w:line="240" w:lineRule="auto"/>
              <w:ind w:left="0" w:right="0" w:firstLine="0"/>
              <w:jc w:val="left"/>
            </w:pPr>
            <w:r>
              <w:rPr>
                <w:lang w:val="en-US"/>
              </w:rPr>
              <w:t xml:space="preserve">API latency, caching, and resilience matter</w:t>
            </w:r>
          </w:p>
        </w:tc>
      </w:tr>
    </w:tbl>
    <w:p>
      <w:pPr>
        <w:pStyle w:val="Normal"/>
        <w:jc w:val="center"/>
      </w:pPr>
      <w:r>
        <w:drawing>
          <wp:inline xmlns:wp="http://schemas.openxmlformats.org/drawingml/2006/wordprocessingDrawing" distT="0" distB="0" distL="0" distR="0">
            <wp:extent cx="5731510" cy="3821007"/>
            <wp:effectExtent l="0" t="0" r="0" b="0"/>
            <wp:docPr id="3" name="Picture 4" descr="Visual comparison of static page delivery through an edge network and a connected content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al comparison of static page delivery through an edge network and a connected content service"/>
                    <pic:cNvPicPr/>
                  </pic:nvPicPr>
                  <pic:blipFill>
                    <a:blip xmlns:r="http://schemas.openxmlformats.org/officeDocument/2006/relationships" r:embed="Rbd72f178d804443b" cstate="print"/>
                    <a:stretch>
                      <a:fillRect/>
                    </a:stretch>
                  </pic:blipFill>
                  <pic:spPr>
                    <a:xfrm>
                      <a:off x="0" y="0"/>
                      <a:ext cx="5731510" cy="3821007"/>
                    </a:xfrm>
                    <a:prstGeom prst="rect">
                      <a:avLst/>
                    </a:prstGeom>
                  </pic:spPr>
                </pic:pic>
              </a:graphicData>
            </a:graphic>
          </wp:inline>
        </w:drawing>
      </w:r>
    </w:p>
    <w:p>
      <w:pPr>
        <w:pStyle w:val="Caption"/>
        <w:jc w:val="center"/>
      </w:pPr>
      <w:r>
        <w:rPr>
          <w:lang w:val="en-US"/>
        </w:rPr>
        <w:t xml:space="preserve">Architecture, caching, and front-end quality-not the CMS label alone-determine real-world performance.</w:t>
      </w:r>
    </w:p>
    <w:p>
      <w:pPr>
        <w:pStyle w:val="Heading2"/>
        <w:outlineLvl w:val="1"/>
      </w:pPr>
      <w:r>
        <w:rPr>
          <w:lang w:val="en-US"/>
        </w:rPr>
        <w:t xml:space="preserve">Pricing and Value Analysis</w:t>
      </w:r>
    </w:p>
    <w:p>
      <w:pPr>
        <w:pStyle w:val="Normal"/>
      </w:pPr>
      <w:r>
        <w:rPr>
          <w:lang w:val="en-US"/>
        </w:rPr>
        <w:t xml:space="preserve">There is no dependable universal price comparison between an SSG and a headless CMS. A generator may be available without a separate license fee, but the total cost includes implementation, build infrastructure, hosting, monitoring, maintenance, and developer time. A low hosting bill is not a saving if routine campaign edits continually consume engineering capacity.</w:t>
      </w:r>
    </w:p>
    <w:p>
      <w:pPr>
        <w:pStyle w:val="Normal"/>
      </w:pPr>
      <w:r>
        <w:rPr>
          <w:lang w:val="en-US"/>
        </w:rPr>
        <w:t xml:space="preserve">A headless CMS may add subscription or usage charges, as well as integration and administration work. In return, it can reduce the time editors spend waiting for code changes and give teams structured content, roles, and review processes. Pricing and feature limits differ by provider and plan; check current official pricing and documentation rather than relying on old estimates.</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3009"/>
        <w:gridCol w:w="3009"/>
        <w:gridCol w:w="3008"/>
      </w:tblGrid>
      <w:tr>
        <w:trPr>
          <w:cantSplit/>
          <w:tblHeader/>
        </w:trPr>
        <w:tc>
          <w:tcPr>
            <w:tcW w:w="3009"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Cost area</w:t>
            </w:r>
          </w:p>
        </w:tc>
        <w:tc>
          <w:tcPr>
            <w:tcW w:w="3009" w:type="dxa"/>
            <w:tcBorders>
              <w:bottom w:val="single" w:color="1A237E" w:sz="11" w:space="0"/>
            </w:tcBorders>
          </w:tcPr>
          <w:p>
            <w:pPr>
              <w:pStyle w:val="TableHeading"/>
              <w:spacing w:before="0" w:after="0" w:line="240" w:lineRule="auto"/>
              <w:ind w:left="0" w:right="0" w:firstLine="0"/>
              <w:jc w:val="left"/>
            </w:pPr>
            <w:r>
              <w:rPr>
                <w:b/>
                <w:lang w:val="en-US"/>
              </w:rPr>
              <w:t xml:space="preserve">SSG-led approach</w:t>
            </w:r>
          </w:p>
        </w:tc>
        <w:tc>
          <w:tcPr>
            <w:tcW w:w="3008" w:type="dxa"/>
            <w:tcBorders>
              <w:bottom w:val="single" w:color="1A237E" w:sz="11" w:space="0"/>
            </w:tcBorders>
          </w:tcPr>
          <w:p>
            <w:pPr>
              <w:pStyle w:val="TableHeading"/>
              <w:spacing w:before="0" w:after="0" w:line="240" w:lineRule="auto"/>
              <w:ind w:left="0" w:right="0" w:firstLine="0"/>
              <w:jc w:val="left"/>
            </w:pPr>
            <w:r>
              <w:rPr>
                <w:b/>
                <w:lang w:val="en-US"/>
              </w:rPr>
              <w:t xml:space="preserve">Headless CMS approach</w:t>
            </w:r>
          </w:p>
        </w:tc>
      </w:tr>
      <w:tr>
        <w:trPr>
          <w:cantSplit/>
        </w:trPr>
        <w:tc>
          <w:tcPr>
            <w:tcW w:w="3009" w:type="dxa"/>
            <w:tcMar>
              <w:left w:w="0" w:type="dxa"/>
            </w:tcMar>
          </w:tcPr>
          <w:p>
            <w:pPr>
              <w:pStyle w:val="TableRowHeading"/>
              <w:spacing w:before="0" w:after="0" w:line="240" w:lineRule="auto"/>
              <w:ind w:left="0" w:right="0" w:firstLine="0"/>
              <w:jc w:val="left"/>
            </w:pPr>
            <w:r>
              <w:rPr>
                <w:b/>
                <w:lang w:val="en-US"/>
              </w:rPr>
              <w:t xml:space="preserve">Platform fees</w:t>
            </w:r>
          </w:p>
        </w:tc>
        <w:tc>
          <w:tcPr>
            <w:tcW w:w="3009" w:type="dxa"/>
          </w:tcPr>
          <w:p>
            <w:pPr>
              <w:pStyle w:val="TableText"/>
              <w:spacing w:before="0" w:after="0" w:line="240" w:lineRule="auto"/>
              <w:ind w:left="0" w:right="0" w:firstLine="0"/>
              <w:jc w:val="left"/>
            </w:pPr>
            <w:r>
              <w:rPr>
                <w:lang w:val="en-US"/>
              </w:rPr>
              <w:t xml:space="preserve">May be minimal, depending on build and hosting tools</w:t>
            </w:r>
          </w:p>
        </w:tc>
        <w:tc>
          <w:tcPr>
            <w:tcW w:w="3008" w:type="dxa"/>
          </w:tcPr>
          <w:p>
            <w:pPr>
              <w:pStyle w:val="TableText"/>
              <w:spacing w:before="0" w:after="0" w:line="240" w:lineRule="auto"/>
              <w:ind w:left="0" w:right="0" w:firstLine="0"/>
              <w:jc w:val="left"/>
            </w:pPr>
            <w:r>
              <w:rPr>
                <w:lang w:val="en-US"/>
              </w:rPr>
              <w:t xml:space="preserve">May include recurring CMS fees or usage charges</w:t>
            </w:r>
          </w:p>
        </w:tc>
      </w:tr>
      <w:tr>
        <w:trPr>
          <w:cantSplit/>
        </w:trPr>
        <w:tc>
          <w:tcPr>
            <w:tcW w:w="3009" w:type="dxa"/>
            <w:tcMar>
              <w:left w:w="0" w:type="dxa"/>
            </w:tcMar>
          </w:tcPr>
          <w:p>
            <w:pPr>
              <w:pStyle w:val="TableRowHeading"/>
              <w:spacing w:before="0" w:after="0" w:line="240" w:lineRule="auto"/>
              <w:ind w:left="0" w:right="0" w:firstLine="0"/>
              <w:jc w:val="left"/>
            </w:pPr>
            <w:r>
              <w:rPr>
                <w:b/>
                <w:lang w:val="en-US"/>
              </w:rPr>
              <w:t xml:space="preserve">Engineering</w:t>
            </w:r>
          </w:p>
        </w:tc>
        <w:tc>
          <w:tcPr>
            <w:tcW w:w="3009" w:type="dxa"/>
          </w:tcPr>
          <w:p>
            <w:pPr>
              <w:pStyle w:val="TableText"/>
              <w:spacing w:before="0" w:after="0" w:line="240" w:lineRule="auto"/>
              <w:ind w:left="0" w:right="0" w:firstLine="0"/>
              <w:jc w:val="left"/>
            </w:pPr>
            <w:r>
              <w:rPr>
                <w:lang w:val="en-US"/>
              </w:rPr>
              <w:t xml:space="preserve">Higher if editors need developer help for content changes</w:t>
            </w:r>
          </w:p>
        </w:tc>
        <w:tc>
          <w:tcPr>
            <w:tcW w:w="3008" w:type="dxa"/>
          </w:tcPr>
          <w:p>
            <w:pPr>
              <w:pStyle w:val="TableText"/>
              <w:spacing w:before="0" w:after="0" w:line="240" w:lineRule="auto"/>
              <w:ind w:left="0" w:right="0" w:firstLine="0"/>
              <w:jc w:val="left"/>
            </w:pPr>
            <w:r>
              <w:rPr>
                <w:lang w:val="en-US"/>
              </w:rPr>
              <w:t xml:space="preserve">Higher at setup; potentially less routine editing support</w:t>
            </w:r>
          </w:p>
        </w:tc>
      </w:tr>
      <w:tr>
        <w:trPr>
          <w:cantSplit/>
        </w:trPr>
        <w:tc>
          <w:tcPr>
            <w:tcW w:w="3009" w:type="dxa"/>
            <w:tcMar>
              <w:left w:w="0" w:type="dxa"/>
            </w:tcMar>
          </w:tcPr>
          <w:p>
            <w:pPr>
              <w:pStyle w:val="TableRowHeading"/>
              <w:spacing w:before="0" w:after="0" w:line="240" w:lineRule="auto"/>
              <w:ind w:left="0" w:right="0" w:firstLine="0"/>
              <w:jc w:val="left"/>
            </w:pPr>
            <w:r>
              <w:rPr>
                <w:b/>
                <w:lang w:val="en-US"/>
              </w:rPr>
              <w:t xml:space="preserve">Operations</w:t>
            </w:r>
          </w:p>
        </w:tc>
        <w:tc>
          <w:tcPr>
            <w:tcW w:w="3009" w:type="dxa"/>
          </w:tcPr>
          <w:p>
            <w:pPr>
              <w:pStyle w:val="TableText"/>
              <w:spacing w:before="0" w:after="0" w:line="240" w:lineRule="auto"/>
              <w:ind w:left="0" w:right="0" w:firstLine="0"/>
              <w:jc w:val="left"/>
            </w:pPr>
            <w:r>
              <w:rPr>
                <w:lang w:val="en-US"/>
              </w:rPr>
              <w:t xml:space="preserve">Build and deployment pipeline still needs ownership</w:t>
            </w:r>
          </w:p>
        </w:tc>
        <w:tc>
          <w:tcPr>
            <w:tcW w:w="3008" w:type="dxa"/>
          </w:tcPr>
          <w:p>
            <w:pPr>
              <w:pStyle w:val="TableText"/>
              <w:spacing w:before="0" w:after="0" w:line="240" w:lineRule="auto"/>
              <w:ind w:left="0" w:right="0" w:firstLine="0"/>
              <w:jc w:val="left"/>
            </w:pPr>
            <w:r>
              <w:rPr>
                <w:lang w:val="en-US"/>
              </w:rPr>
              <w:t xml:space="preserve">CMS, integrations, access, and delivery need ownership</w:t>
            </w:r>
          </w:p>
        </w:tc>
      </w:tr>
      <w:tr>
        <w:trPr>
          <w:cantSplit/>
        </w:trPr>
        <w:tc>
          <w:tcPr>
            <w:tcW w:w="3009" w:type="dxa"/>
            <w:tcMar>
              <w:left w:w="0" w:type="dxa"/>
            </w:tcMar>
          </w:tcPr>
          <w:p>
            <w:pPr>
              <w:pStyle w:val="TableRowHeading"/>
              <w:spacing w:before="0" w:after="0" w:line="240" w:lineRule="auto"/>
              <w:ind w:left="0" w:right="0" w:firstLine="0"/>
              <w:jc w:val="left"/>
            </w:pPr>
            <w:r>
              <w:rPr>
                <w:b/>
                <w:lang w:val="en-US"/>
              </w:rPr>
              <w:t xml:space="preserve">Best value when</w:t>
            </w:r>
          </w:p>
        </w:tc>
        <w:tc>
          <w:tcPr>
            <w:tcW w:w="3009" w:type="dxa"/>
          </w:tcPr>
          <w:p>
            <w:pPr>
              <w:pStyle w:val="TableText"/>
              <w:spacing w:before="0" w:after="0" w:line="240" w:lineRule="auto"/>
              <w:ind w:left="0" w:right="0" w:firstLine="0"/>
              <w:jc w:val="left"/>
            </w:pPr>
            <w:r>
              <w:rPr>
                <w:lang w:val="en-US"/>
              </w:rPr>
              <w:t xml:space="preserve">Content changes are limited and engineering capacity is available</w:t>
            </w:r>
          </w:p>
        </w:tc>
        <w:tc>
          <w:tcPr>
            <w:tcW w:w="3008" w:type="dxa"/>
          </w:tcPr>
          <w:p>
            <w:pPr>
              <w:pStyle w:val="TableText"/>
              <w:spacing w:before="0" w:after="0" w:line="240" w:lineRule="auto"/>
              <w:ind w:left="0" w:right="0" w:firstLine="0"/>
              <w:jc w:val="left"/>
            </w:pPr>
            <w:r>
              <w:rPr>
                <w:lang w:val="en-US"/>
              </w:rPr>
              <w:t xml:space="preserve">Publishing volume and editor independence justify the platform</w:t>
            </w:r>
          </w:p>
        </w:tc>
      </w:tr>
    </w:tbl>
    <w:p>
      <w:pPr>
        <w:pStyle w:val="Normal"/>
      </w:pPr>
      <w:r>
        <w:rPr>
          <w:lang w:val="en-US"/>
        </w:rPr>
        <w:t xml:space="preserve">Estimate total cost of ownership over several years. Include staff time, migration, training, vendor support, and the cost of publishing delays. The cheaper option is the one that supports your required content workflow with less total effort-not necessarily the one with the smallest software bill.</w:t>
      </w:r>
    </w:p>
    <w:p>
      <w:pPr>
        <w:pStyle w:val="Heading2"/>
        <w:outlineLvl w:val="1"/>
      </w:pPr>
      <w:r>
        <w:rPr>
          <w:lang w:val="en-US"/>
        </w:rPr>
        <w:t xml:space="preserve">User Experience: Authoring, Preview, and Review</w:t>
      </w:r>
    </w:p>
    <w:p>
      <w:pPr>
        <w:pStyle w:val="Normal"/>
      </w:pPr>
      <w:r>
        <w:rPr>
          <w:lang w:val="en-US"/>
        </w:rPr>
        <w:t xml:space="preserve">For authors, the most visible difference is where work happens. An SSG-only workflow may ask contributors to edit files, open a change request, and wait for a build and deployment. That can provide a clear record of changes, but it may be unfamiliar or cumbersome for a marketing team. An integrated editor can improve the experience, but it is an additional component that needs configuration and support.</w:t>
      </w:r>
    </w:p>
    <w:p>
      <w:pPr>
        <w:pStyle w:val="Normal"/>
      </w:pPr>
      <w:r>
        <w:rPr>
          <w:lang w:val="en-US"/>
        </w:rPr>
        <w:t xml:space="preserve">A headless CMS offers a dedicated authoring environment, but "no developer required" is not automatic. Editors can publish independently only if the CMS permissions, content models, templates, and deployment process support it. Changes to page structure, a new component, or an unusual integration will still need engineering.</w:t>
      </w:r>
    </w:p>
    <w:p>
      <w:pPr>
        <w:pStyle w:val="Normal"/>
      </w:pPr>
      <w:r>
        <w:rPr>
          <w:lang w:val="en-US"/>
        </w:rPr>
        <w:t xml:space="preserve">Preview and review deserve a practical test before a decision. Ask editors to create a draft, preview it, request approval, make a correction, and publish it. Check whether the preview matches the live site, whether reviewers can comment or approve, and what happens when a build or API request fails. A strong workflow makes routine content safe to publish without pretending every change is a content-only task.</w:t>
      </w:r>
    </w:p>
    <w:p>
      <w:pPr>
        <w:pStyle w:val="Heading2"/>
        <w:outlineLvl w:val="1"/>
      </w:pPr>
      <w:r>
        <w:rPr>
          <w:lang w:val="en-US"/>
        </w:rPr>
        <w:t xml:space="preserve">Pros and Cons of Each</w:t>
      </w:r>
    </w:p>
    <w:p>
      <w:pPr>
        <w:pStyle w:val="Heading3"/>
        <w:outlineLvl w:val="2"/>
      </w:pPr>
      <w:r>
        <w:rPr>
          <w:lang w:val="en-US"/>
        </w:rPr>
        <w:t xml:space="preserve">Static site generator</w:t>
      </w:r>
    </w:p>
    <w:p>
      <w:pPr>
        <w:pStyle w:val="ListParagraph"/>
        <w:numPr>
          <w:ilvl w:val="0"/>
          <w:numId w:val="1"/>
        </w:numPr>
        <w:ind w:left="360" w:hanging="240"/>
      </w:pPr>
      <w:r>
        <w:rPr>
          <w:b/>
          <w:lang w:val="en-US"/>
        </w:rPr>
        <w:t xml:space="preserve">Pros:</w:t>
      </w:r>
      <w:r>
        <w:rPr>
          <w:lang w:val="en-US"/>
        </w:rPr>
        <w:t xml:space="preserve"> Direct delivery of prebuilt pages; flexible control over templates and code; can pair with simple hosting; no CMS subscription is necessarily required.</w:t>
      </w:r>
    </w:p>
    <w:p>
      <w:pPr>
        <w:pStyle w:val="ListParagraph"/>
        <w:numPr>
          <w:ilvl w:val="0"/>
          <w:numId w:val="1"/>
        </w:numPr>
        <w:ind w:left="360" w:hanging="240"/>
      </w:pPr>
      <w:r>
        <w:rPr>
          <w:b/>
          <w:lang w:val="en-US"/>
        </w:rPr>
        <w:t xml:space="preserve">Cons:</w:t>
      </w:r>
      <w:r>
        <w:rPr>
          <w:lang w:val="en-US"/>
        </w:rPr>
        <w:t xml:space="preserve"> A code-centered workflow may restrict marketers; previews and approvals need deliberate setup; builds and content structures require engineering ownership.</w:t>
      </w:r>
    </w:p>
    <w:p>
      <w:pPr>
        <w:pStyle w:val="ListParagraph"/>
        <w:numPr>
          <w:ilvl w:val="0"/>
          <w:numId w:val="1"/>
        </w:numPr>
        <w:ind w:left="360" w:hanging="240"/>
      </w:pPr>
      <w:r>
        <w:rPr>
          <w:b/>
          <w:lang w:val="en-US"/>
        </w:rPr>
        <w:t xml:space="preserve">Winner when:</w:t>
      </w:r>
      <w:r>
        <w:rPr>
          <w:lang w:val="en-US"/>
        </w:rPr>
        <w:t xml:space="preserve"> The site is small or stable, content changes are occasional, and developers already own publishing.</w:t>
      </w:r>
    </w:p>
    <w:p>
      <w:pPr>
        <w:pStyle w:val="Heading3"/>
        <w:outlineLvl w:val="2"/>
      </w:pPr>
      <w:r>
        <w:rPr>
          <w:lang w:val="en-US"/>
        </w:rPr>
        <w:t xml:space="preserve">Headless CMS</w:t>
      </w:r>
    </w:p>
    <w:p>
      <w:pPr>
        <w:pStyle w:val="ListParagraph"/>
        <w:numPr>
          <w:ilvl w:val="0"/>
          <w:numId w:val="2"/>
        </w:numPr>
        <w:ind w:left="360" w:hanging="240"/>
      </w:pPr>
      <w:r>
        <w:rPr>
          <w:b/>
          <w:lang w:val="en-US"/>
        </w:rPr>
        <w:t xml:space="preserve">Pros:</w:t>
      </w:r>
      <w:r>
        <w:rPr>
          <w:lang w:val="en-US"/>
        </w:rPr>
        <w:t xml:space="preserve"> A purpose-built editorial interface; structured and reusable content; the potential for independent publishing and formal review; content can support multiple delivery channels.</w:t>
      </w:r>
    </w:p>
    <w:p>
      <w:pPr>
        <w:pStyle w:val="ListParagraph"/>
        <w:numPr>
          <w:ilvl w:val="0"/>
          <w:numId w:val="2"/>
        </w:numPr>
        <w:ind w:left="360" w:hanging="240"/>
      </w:pPr>
      <w:r>
        <w:rPr>
          <w:b/>
          <w:lang w:val="en-US"/>
        </w:rPr>
        <w:t xml:space="preserve">Cons:</w:t>
      </w:r>
      <w:r>
        <w:rPr>
          <w:lang w:val="en-US"/>
        </w:rPr>
        <w:t xml:space="preserve"> Subscription and integration costs may apply; content models require planning; the website still needs development and maintenance; platform-specific features can complicate migration.</w:t>
      </w:r>
    </w:p>
    <w:p>
      <w:pPr>
        <w:pStyle w:val="ListParagraph"/>
        <w:numPr>
          <w:ilvl w:val="0"/>
          <w:numId w:val="2"/>
        </w:numPr>
        <w:ind w:left="360" w:hanging="240"/>
      </w:pPr>
      <w:r>
        <w:rPr>
          <w:b/>
          <w:lang w:val="en-US"/>
        </w:rPr>
        <w:t xml:space="preserve">Winner when:</w:t>
      </w:r>
      <w:r>
        <w:rPr>
          <w:lang w:val="en-US"/>
        </w:rPr>
        <w:t xml:space="preserve"> Many contributors publish regularly, approvals matter, or content needs to be reused across sites or channels.</w:t>
      </w:r>
    </w:p>
    <w:p>
      <w:pPr>
        <w:pStyle w:val="Heading2"/>
        <w:outlineLvl w:val="1"/>
      </w:pPr>
      <w:r>
        <w:rPr>
          <w:lang w:val="en-US"/>
        </w:rPr>
        <w:t xml:space="preserve">Lock-In and Migration Risks</w:t>
      </w:r>
    </w:p>
    <w:p>
      <w:pPr>
        <w:pStyle w:val="Normal"/>
      </w:pPr>
      <w:r>
        <w:rPr>
          <w:lang w:val="en-US"/>
        </w:rPr>
        <w:t xml:space="preserve">With an SSG, lock-in can build up in templates, plugins, framework-specific features, build pipelines, and the format in which content is stored. Plain, well-organized content files may be portable, but a bespoke implementation can still make a move expensive. Keep content distinct from presentation where practical, document build steps, and test whether another rendering system can consume the content.</w:t>
      </w:r>
    </w:p>
    <w:p>
      <w:pPr>
        <w:pStyle w:val="Normal"/>
      </w:pPr>
      <w:r>
        <w:rPr>
          <w:lang w:val="en-US"/>
        </w:rPr>
        <w:t xml:space="preserve">A headless CMS can centralize content, but its schemas, rich-text formats, APIs, permissions, and editorial features may not map cleanly to another platform. Export access alone does not guarantee a painless migration. Review how content can be extracted, whether assets and relationships export intact, and which features depend on proprietary behavior.</w:t>
      </w:r>
    </w:p>
    <w:p>
      <w:pPr>
        <w:pStyle w:val="Normal"/>
      </w:pPr>
      <w:r>
        <w:rPr>
          <w:lang w:val="en-US"/>
        </w:rPr>
        <w:t xml:space="preserve">For either choice, reduce risk with a documented content model, reliable backups, ownership of domain and deployment credentials, and a tested export or restore process. If the website supports regulated or sensitive operations, review security controls and compliance obligations during procurement; do not infer compliance from the architecture alone.</w:t>
      </w:r>
    </w:p>
    <w:p>
      <w:pPr>
        <w:pStyle w:val="Heading2"/>
        <w:outlineLvl w:val="1"/>
      </w:pPr>
      <w:r>
        <w:rPr>
          <w:lang w:val="en-US"/>
        </w:rPr>
        <w:t xml:space="preserve">Use Case Recommendations</w:t>
      </w:r>
    </w:p>
    <w:p>
      <w:pPr>
        <w:pStyle w:val="ListParagraph"/>
        <w:numPr>
          <w:ilvl w:val="0"/>
          <w:numId w:val="3"/>
        </w:numPr>
        <w:ind w:left="360" w:hanging="240"/>
      </w:pPr>
      <w:r>
        <w:rPr>
          <w:b/>
          <w:lang w:val="en-US"/>
        </w:rPr>
        <w:t xml:space="preserve">Choose an SSG</w:t>
      </w:r>
      <w:r>
        <w:rPr>
          <w:lang w:val="en-US"/>
        </w:rPr>
        <w:t xml:space="preserve"> for a compact brochure site, a campaign landing page with limited updates, or a documentation-style site where developers control releases and simple delivery matters most.</w:t>
      </w:r>
    </w:p>
    <w:p>
      <w:pPr>
        <w:pStyle w:val="ListParagraph"/>
        <w:numPr>
          <w:ilvl w:val="0"/>
          <w:numId w:val="3"/>
        </w:numPr>
        <w:ind w:left="360" w:hanging="240"/>
      </w:pPr>
      <w:r>
        <w:rPr>
          <w:b/>
          <w:lang w:val="en-US"/>
        </w:rPr>
        <w:t xml:space="preserve">Choose a headless CMS</w:t>
      </w:r>
      <w:r>
        <w:rPr>
          <w:lang w:val="en-US"/>
        </w:rPr>
        <w:t xml:space="preserve"> for a content-intensive marketing website with regular campaigns, several editors, approval requirements, or shared content across digital channels.</w:t>
      </w:r>
    </w:p>
    <w:p>
      <w:pPr>
        <w:pStyle w:val="ListParagraph"/>
        <w:numPr>
          <w:ilvl w:val="0"/>
          <w:numId w:val="3"/>
        </w:numPr>
        <w:ind w:left="360" w:hanging="240"/>
      </w:pPr>
      <w:r>
        <w:rPr>
          <w:b/>
          <w:lang w:val="en-US"/>
        </w:rPr>
        <w:t xml:space="preserve">Combine them</w:t>
      </w:r>
      <w:r>
        <w:rPr>
          <w:lang w:val="en-US"/>
        </w:rPr>
        <w:t xml:space="preserve"> when editors need a CMS but the public site benefits from prebuilt pages. A CMS can hold content and trigger builds, letting the team retain an editorial interface and static delivery.</w:t>
      </w:r>
    </w:p>
    <w:p>
      <w:pPr>
        <w:pStyle w:val="ListParagraph"/>
        <w:numPr>
          <w:ilvl w:val="0"/>
          <w:numId w:val="3"/>
        </w:numPr>
        <w:ind w:left="360" w:hanging="240"/>
      </w:pPr>
      <w:r>
        <w:rPr>
          <w:b/>
          <w:lang w:val="en-US"/>
        </w:rPr>
        <w:t xml:space="preserve">Reconsider both assumptions</w:t>
      </w:r>
      <w:r>
        <w:rPr>
          <w:lang w:val="en-US"/>
        </w:rPr>
        <w:t xml:space="preserve"> if the site needs highly personalized or frequently changing information at request time. Evaluate the required rendering and data architecture rather than forcing every page into a static publishing model.</w:t>
      </w:r>
    </w:p>
    <w:p>
      <w:pPr>
        <w:pStyle w:val="Normal"/>
      </w:pPr>
      <w:r>
        <w:rPr>
          <w:lang w:val="en-US"/>
        </w:rPr>
        <w:t xml:space="preserve">Before committing, prototype one representative page and one complete publishing journey. Include a draft, preview, approval, publish, and rollback or correction. That small test can expose workflow and integration costs that an architecture diagram misses.</w:t>
      </w:r>
    </w:p>
    <w:p>
      <w:pPr>
        <w:pStyle w:val="Heading2"/>
        <w:outlineLvl w:val="1"/>
      </w:pPr>
      <w:r>
        <w:rPr>
          <w:lang w:val="en-US"/>
        </w:rPr>
        <w:t xml:space="preserve">Quick Comparison Summary</w:t>
      </w:r>
    </w:p>
    <w:tbl>
      <w:tblPr>
        <w:tblW w:w="9026" w:type="dxa"/>
        <w:tblInd w:w="0" w:type="dxa"/>
        <w:tblBorders>
          <w:top w:val="nil"/>
          <w:left w:val="nil"/>
          <w:bottom w:val="single" w:color="D6D9E8" w:sz="6"/>
          <w:right w:val="nil"/>
          <w:insideH w:val="single" w:color="D6D9E8" w:sz="6"/>
          <w:insideV w:val="nil"/>
        </w:tblBorders>
        <w:tblLayout w:type="fixed"/>
        <w:tblCellMar>
          <w:top w:w="89" w:type="dxa"/>
          <w:left w:w="89" w:type="dxa"/>
          <w:bottom w:w="89" w:type="dxa"/>
          <w:right w:w="89" w:type="dxa"/>
        </w:tblCellMar>
      </w:tblPr>
      <w:tblGrid>
        <w:gridCol w:w="3009"/>
        <w:gridCol w:w="3009"/>
        <w:gridCol w:w="3008"/>
      </w:tblGrid>
      <w:tr>
        <w:trPr>
          <w:cantSplit/>
          <w:tblHeader/>
        </w:trPr>
        <w:tc>
          <w:tcPr>
            <w:tcW w:w="3009" w:type="dxa"/>
            <w:tcBorders>
              <w:bottom w:val="single" w:color="1A237E" w:sz="11" w:space="0"/>
            </w:tcBorders>
            <w:tcMar>
              <w:left w:w="0" w:type="dxa"/>
            </w:tcMar>
          </w:tcPr>
          <w:p>
            <w:pPr>
              <w:pStyle w:val="TableHeading"/>
              <w:spacing w:before="0" w:after="0" w:line="240" w:lineRule="auto"/>
              <w:ind w:left="0" w:right="0" w:firstLine="0"/>
              <w:jc w:val="left"/>
            </w:pPr>
            <w:r>
              <w:rPr>
                <w:b/>
                <w:lang w:val="en-US"/>
              </w:rPr>
              <w:t xml:space="preserve">Your priority</w:t>
            </w:r>
          </w:p>
        </w:tc>
        <w:tc>
          <w:tcPr>
            <w:tcW w:w="3009" w:type="dxa"/>
            <w:tcBorders>
              <w:bottom w:val="single" w:color="1A237E" w:sz="11" w:space="0"/>
            </w:tcBorders>
          </w:tcPr>
          <w:p>
            <w:pPr>
              <w:pStyle w:val="TableHeading"/>
              <w:spacing w:before="0" w:after="0" w:line="240" w:lineRule="auto"/>
              <w:ind w:left="0" w:right="0" w:firstLine="0"/>
              <w:jc w:val="left"/>
            </w:pPr>
            <w:r>
              <w:rPr>
                <w:b/>
                <w:lang w:val="en-US"/>
              </w:rPr>
              <w:t xml:space="preserve">Better starting point</w:t>
            </w:r>
          </w:p>
        </w:tc>
        <w:tc>
          <w:tcPr>
            <w:tcW w:w="3008" w:type="dxa"/>
            <w:tcBorders>
              <w:bottom w:val="single" w:color="1A237E" w:sz="11" w:space="0"/>
            </w:tcBorders>
          </w:tcPr>
          <w:p>
            <w:pPr>
              <w:pStyle w:val="TableHeading"/>
              <w:spacing w:before="0" w:after="0" w:line="240" w:lineRule="auto"/>
              <w:ind w:left="0" w:right="0" w:firstLine="0"/>
              <w:jc w:val="left"/>
            </w:pPr>
            <w:r>
              <w:rPr>
                <w:b/>
                <w:lang w:val="en-US"/>
              </w:rPr>
              <w:t xml:space="preserve">Reason</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Simple hosting and developer control</w:t>
            </w:r>
          </w:p>
        </w:tc>
        <w:tc>
          <w:tcPr>
            <w:tcW w:w="3009" w:type="dxa"/>
          </w:tcPr>
          <w:p>
            <w:pPr>
              <w:pStyle w:val="TableText"/>
              <w:spacing w:before="0" w:after="0" w:line="240" w:lineRule="auto"/>
              <w:ind w:left="0" w:right="0" w:firstLine="0"/>
              <w:jc w:val="left"/>
            </w:pPr>
            <w:r>
              <w:rPr>
                <w:lang w:val="en-US"/>
              </w:rPr>
              <w:t xml:space="preserve">Static site generator</w:t>
            </w:r>
          </w:p>
        </w:tc>
        <w:tc>
          <w:tcPr>
            <w:tcW w:w="3008" w:type="dxa"/>
          </w:tcPr>
          <w:p>
            <w:pPr>
              <w:pStyle w:val="TableText"/>
              <w:spacing w:before="0" w:after="0" w:line="240" w:lineRule="auto"/>
              <w:ind w:left="0" w:right="0" w:firstLine="0"/>
              <w:jc w:val="left"/>
            </w:pPr>
            <w:r>
              <w:rPr>
                <w:lang w:val="en-US"/>
              </w:rPr>
              <w:t xml:space="preserve">Prebuilt output can be served with a lean delivery setup</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Editor autonomy and repeat publishing</w:t>
            </w:r>
          </w:p>
        </w:tc>
        <w:tc>
          <w:tcPr>
            <w:tcW w:w="3009" w:type="dxa"/>
          </w:tcPr>
          <w:p>
            <w:pPr>
              <w:pStyle w:val="TableText"/>
              <w:spacing w:before="0" w:after="0" w:line="240" w:lineRule="auto"/>
              <w:ind w:left="0" w:right="0" w:firstLine="0"/>
              <w:jc w:val="left"/>
            </w:pPr>
            <w:r>
              <w:rPr>
                <w:lang w:val="en-US"/>
              </w:rPr>
              <w:t xml:space="preserve">Headless CMS</w:t>
            </w:r>
          </w:p>
        </w:tc>
        <w:tc>
          <w:tcPr>
            <w:tcW w:w="3008" w:type="dxa"/>
          </w:tcPr>
          <w:p>
            <w:pPr>
              <w:pStyle w:val="TableText"/>
              <w:spacing w:before="0" w:after="0" w:line="240" w:lineRule="auto"/>
              <w:ind w:left="0" w:right="0" w:firstLine="0"/>
              <w:jc w:val="left"/>
            </w:pPr>
            <w:r>
              <w:rPr>
                <w:lang w:val="en-US"/>
              </w:rPr>
              <w:t xml:space="preserve">Provides a dedicated content workflow when configured well</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Editorial usability plus static delivery</w:t>
            </w:r>
          </w:p>
        </w:tc>
        <w:tc>
          <w:tcPr>
            <w:tcW w:w="3009" w:type="dxa"/>
          </w:tcPr>
          <w:p>
            <w:pPr>
              <w:pStyle w:val="TableText"/>
              <w:spacing w:before="0" w:after="0" w:line="240" w:lineRule="auto"/>
              <w:ind w:left="0" w:right="0" w:firstLine="0"/>
              <w:jc w:val="left"/>
            </w:pPr>
            <w:r>
              <w:rPr>
                <w:lang w:val="en-US"/>
              </w:rPr>
              <w:t xml:space="preserve">CMS with static generation</w:t>
            </w:r>
          </w:p>
        </w:tc>
        <w:tc>
          <w:tcPr>
            <w:tcW w:w="3008" w:type="dxa"/>
          </w:tcPr>
          <w:p>
            <w:pPr>
              <w:pStyle w:val="TableText"/>
              <w:spacing w:before="0" w:after="0" w:line="240" w:lineRule="auto"/>
              <w:ind w:left="0" w:right="0" w:firstLine="0"/>
              <w:jc w:val="left"/>
            </w:pPr>
            <w:r>
              <w:rPr>
                <w:lang w:val="en-US"/>
              </w:rPr>
              <w:t xml:space="preserve">Separates content authoring from efficient public delivery</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Lowest total cost</w:t>
            </w:r>
          </w:p>
        </w:tc>
        <w:tc>
          <w:tcPr>
            <w:tcW w:w="3009" w:type="dxa"/>
          </w:tcPr>
          <w:p>
            <w:pPr>
              <w:pStyle w:val="TableText"/>
              <w:spacing w:before="0" w:after="0" w:line="240" w:lineRule="auto"/>
              <w:ind w:left="0" w:right="0" w:firstLine="0"/>
              <w:jc w:val="left"/>
            </w:pPr>
            <w:r>
              <w:rPr>
                <w:lang w:val="en-US"/>
              </w:rPr>
              <w:t xml:space="preserve">Depends on team and volume</w:t>
            </w:r>
          </w:p>
        </w:tc>
        <w:tc>
          <w:tcPr>
            <w:tcW w:w="3008" w:type="dxa"/>
          </w:tcPr>
          <w:p>
            <w:pPr>
              <w:pStyle w:val="TableText"/>
              <w:spacing w:before="0" w:after="0" w:line="240" w:lineRule="auto"/>
              <w:ind w:left="0" w:right="0" w:firstLine="0"/>
              <w:jc w:val="left"/>
            </w:pPr>
            <w:r>
              <w:rPr>
                <w:lang w:val="en-US"/>
              </w:rPr>
              <w:t xml:space="preserve">Compare platform costs with engineering and editorial labor</w:t>
            </w:r>
          </w:p>
        </w:tc>
      </w:tr>
    </w:tbl>
    <w:p>
      <w:pPr>
        <w:pStyle w:val="Heading2"/>
        <w:outlineLvl w:val="1"/>
      </w:pPr>
      <w:r>
        <w:rPr>
          <w:lang w:val="en-US"/>
        </w:rPr>
        <w:t xml:space="preserve">Final Recommendation</w:t>
      </w:r>
    </w:p>
    <w:p>
      <w:pPr>
        <w:pStyle w:val="Normal"/>
      </w:pPr>
      <w:r>
        <w:rPr>
          <w:lang w:val="en-US"/>
        </w:rPr>
        <w:t xml:space="preserve">There is no overall winner for every marketing website. The static site generator is the better choice when the site is relatively stable, developers can own content releases, and a straightforward delivery path is the priority. The headless CMS is the better choice when a marketing team publishes often and needs structured authoring, review, and greater independence from engineering.</w:t>
      </w:r>
    </w:p>
    <w:p>
      <w:pPr>
        <w:pStyle w:val="Normal"/>
      </w:pPr>
      <w:r>
        <w:rPr>
          <w:lang w:val="en-US"/>
        </w:rPr>
        <w:t xml:space="preserve">For many organizations, the most balanced solution is a headless CMS connected to a static build. It gives editors a dedicated place to manage content while allowing the public site to serve prebuilt pages. That approach still carries CMS and integration costs, so it makes sense only when the editorial gains justify them.</w:t>
      </w:r>
    </w:p>
    <w:p>
      <w:pPr>
        <w:pStyle w:val="Normal"/>
      </w:pPr>
      <w:r>
        <w:rPr>
          <w:lang w:val="en-US"/>
        </w:rPr>
        <w:t xml:space="preserve">Decide based on your real content workflow: who creates, reviews, and publishes; how quickly changes must appear; and who will maintain the system. If content is rare, start with an SSG. If publishing is a core marketing operation, start with a headless CMS and verify that editors can complete the full workflow without developer intervention.</w:t>
      </w:r>
    </w:p>
    <w:p>
      <w:pPr>
        <w:pStyle w:val="Normal"/>
        <w:jc w:val="center"/>
      </w:pPr>
      <w:r>
        <w:drawing>
          <wp:inline xmlns:wp="http://schemas.openxmlformats.org/drawingml/2006/wordprocessingDrawing" distT="0" distB="0" distL="0" distR="0">
            <wp:extent cx="5731510" cy="5731510"/>
            <wp:effectExtent l="0" t="0" r="0" b="0"/>
            <wp:docPr id="4" name="Picture 5" descr="Final comparison showing an SSG suited to simple developer-managed sites and a headless CMS suited to active editorial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comparison showing an SSG suited to simple developer-managed sites and a headless CMS suited to active editorial teams"/>
                    <pic:cNvPicPr/>
                  </pic:nvPicPr>
                  <pic:blipFill>
                    <a:blip xmlns:r="http://schemas.openxmlformats.org/officeDocument/2006/relationships" r:embed="Re24357cb8c90409a"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The right choice follows publishing needs: simplicity for developer-led sites, or editorial independence for active content teams.</w:t>
      </w:r>
    </w:p>
    <w:sectPr>
      <w:footerReference xmlns:r="http://schemas.openxmlformats.org/officeDocument/2006/relationships" w:type="default" r:id="R5210b031bb514ad8"/>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BM Plex Sans">
    <w:family w:val="swiss"/>
    <w:pitch w:val="variable"/>
  </w:font>
  <w:font w:name="IBM Plex Serif">
    <w:family w:val="roman"/>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2">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abstractNum w:abstractNumId="3">
    <w:multiLevelType w:val="hybridMultilevel"/>
    <w:lvl w:ilvl="0">
      <w:start w:val="1"/>
      <w:numFmt w:val="bullet"/>
      <w:lvlText w:val="•"/>
      <w:lvlJc w:val="left"/>
      <w:pPr>
        <w:ind w:left="720" w:hanging="360"/>
      </w:pPr>
      <w:rPr>
        <w:color w:val="8F5B00"/>
      </w:rPr>
    </w:lvl>
    <w:lvl w:ilvl="1">
      <w:start w:val="1"/>
      <w:numFmt w:val="bullet"/>
      <w:lvlText w:val="◦"/>
      <w:lvlJc w:val="left"/>
      <w:pPr>
        <w:ind w:left="1440" w:hanging="360"/>
      </w:pPr>
      <w:rPr>
        <w:color w:val="5B6275"/>
      </w:rPr>
    </w:lvl>
    <w:lvl w:ilvl="2">
      <w:start w:val="1"/>
      <w:numFmt w:val="bullet"/>
      <w:lvlText w:val="▪"/>
      <w:lvlJc w:val="left"/>
      <w:pPr>
        <w:ind w:left="2160" w:hanging="360"/>
      </w:pPr>
      <w:rPr>
        <w:color w:val="5B6275"/>
      </w:rPr>
    </w:lvl>
    <w:lvl w:ilvl="3">
      <w:start w:val="1"/>
      <w:numFmt w:val="bullet"/>
      <w:lvlText w:val="•"/>
      <w:lvlJc w:val="left"/>
      <w:pPr>
        <w:ind w:left="2880" w:hanging="360"/>
      </w:pPr>
      <w:rPr>
        <w:color w:val="5B6275"/>
      </w:rPr>
    </w:lvl>
    <w:lvl w:ilvl="4">
      <w:start w:val="1"/>
      <w:numFmt w:val="bullet"/>
      <w:lvlText w:val="◦"/>
      <w:lvlJc w:val="left"/>
      <w:pPr>
        <w:ind w:left="3600" w:hanging="360"/>
      </w:pPr>
      <w:rPr>
        <w:color w:val="5B6275"/>
      </w:rPr>
    </w:lvl>
    <w:lvl w:ilvl="5">
      <w:start w:val="1"/>
      <w:numFmt w:val="bullet"/>
      <w:lvlText w:val="▪"/>
      <w:lvlJc w:val="left"/>
      <w:pPr>
        <w:ind w:left="4320" w:hanging="360"/>
      </w:pPr>
      <w:rPr>
        <w:color w:val="5B6275"/>
      </w:rPr>
    </w:lvl>
    <w:lvl w:ilvl="6">
      <w:start w:val="1"/>
      <w:numFmt w:val="bullet"/>
      <w:lvlText w:val="•"/>
      <w:lvlJc w:val="left"/>
      <w:pPr>
        <w:ind w:left="5040" w:hanging="360"/>
      </w:pPr>
      <w:rPr>
        <w:color w:val="5B6275"/>
      </w:rPr>
    </w:lvl>
    <w:lvl w:ilvl="7">
      <w:start w:val="1"/>
      <w:numFmt w:val="bullet"/>
      <w:lvlText w:val="◦"/>
      <w:lvlJc w:val="left"/>
      <w:pPr>
        <w:ind w:left="5760" w:hanging="360"/>
      </w:pPr>
      <w:rPr>
        <w:color w:val="5B6275"/>
      </w:rPr>
    </w:lvl>
    <w:lvl w:ilvl="8">
      <w:start w:val="1"/>
      <w:numFmt w:val="bullet"/>
      <w:lvlText w:val="▪"/>
      <w:lvlJc w:val="left"/>
      <w:pPr>
        <w:ind w:left="6480" w:hanging="360"/>
      </w:pPr>
      <w:rPr>
        <w:color w:val="5B6275"/>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http://schemas.openxmlformats.org/wordprocessingml/2006/main">
  <w:docVars>
    <w:docVar w:name="CoverComposition" w:val="fullbleed"/>
  </w:docVars>
</w:settings>
</file>

<file path=word/styles.xml><?xml version="1.0" encoding="utf-8"?>
<w:styles xmlns:w="http://schemas.openxmlformats.org/wordprocessingml/2006/main">
  <w:docDefaults>
    <w:rPrDefault>
      <w:rPr>
        <w:rFonts w:ascii="IBM Plex Sans" w:hAnsi="IBM Plex Sans" w:eastAsia="IBM Plex Sans" w:cs="IBM Plex Sans"/>
        <w:color w:val="1F2433"/>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BM Plex Sans" w:hAnsi="IBM Plex Sans"/>
      <w:b w:val="false"/>
      <w:bCs w:val="false"/>
      <w:i w:val="false"/>
      <w:iCs w:val="false"/>
      <w:caps w:val="false"/>
      <w:color w:val="1F2433"/>
      <w:sz w:val="20"/>
      <w:szCs w:val="20"/>
    </w:rPr>
  </w:style>
  <w:style w:type="paragraph" w:styleId="ListParagraph">
    <w:name w:val="List Paragraph"/>
    <w:basedOn w:val="Normal"/>
    <w:qFormat/>
    <w:pPr>
      <w:spacing w:before="0" w:after="60" w:line="316" w:lineRule="atLeast"/>
      <w:ind w:left="0" w:right="0" w:firstLine="0"/>
      <w:jc w:val="left"/>
    </w:pPr>
    <w:rPr>
      <w:rFonts w:ascii="IBM Plex Sans" w:hAnsi="IBM Plex Sans"/>
      <w:b w:val="false"/>
      <w:bCs w:val="false"/>
      <w:i w:val="false"/>
      <w:iCs w:val="false"/>
      <w:caps w:val="false"/>
      <w:color w:val="1F2433"/>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BM Plex Serif" w:hAnsi="IBM Plex Serif"/>
      <w:b w:val="true"/>
      <w:bCs w:val="true"/>
      <w:i w:val="false"/>
      <w:iCs w:val="false"/>
      <w:caps w:val="false"/>
      <w:color w:val="1A237E"/>
      <w:spacing w:val="-2"/>
      <w:sz w:val="39"/>
      <w:szCs w:val="39"/>
    </w:rPr>
  </w:style>
  <w:style w:type="paragraph" w:styleId="Heading2">
    <w:name w:val="Heading 2"/>
    <w:basedOn w:val="Normal"/>
    <w:next w:val="Normal"/>
    <w:qFormat/>
    <w:pPr>
      <w:keepNext/>
      <w:keepLines/>
      <w:pageBreakBefore w:val="false"/>
      <w:pBdr>
        <w:bottom w:val="single" w:color="F5A524" w:sz="8" w:space="5"/>
      </w:pBdr>
      <w:suppressAutoHyphens/>
      <w:spacing w:before="450" w:after="172" w:line="381" w:lineRule="atLeast"/>
      <w:ind w:left="0" w:right="0" w:firstLine="0"/>
      <w:jc w:val="left"/>
      <w:outlineLvl w:val="1"/>
    </w:pPr>
    <w:rPr>
      <w:rFonts w:ascii="IBM Plex Serif" w:hAnsi="IBM Plex Serif"/>
      <w:b w:val="true"/>
      <w:bCs w:val="true"/>
      <w:i w:val="false"/>
      <w:iCs w:val="false"/>
      <w:caps w:val="false"/>
      <w:color w:val="1A237E"/>
      <w:spacing w:val="-2"/>
      <w:sz w:val="31"/>
      <w:szCs w:val="31"/>
    </w:rPr>
  </w:style>
  <w:style w:type="paragraph" w:styleId="Heading3">
    <w:name w:val="Heading 3"/>
    <w:basedOn w:val="Normal"/>
    <w:next w:val="Normal"/>
    <w:qFormat/>
    <w:pPr>
      <w:keepNext/>
      <w:keepLines/>
      <w:pageBreakBefore w:val="false"/>
      <w:suppressAutoHyphens/>
      <w:spacing w:before="198" w:after="113" w:line="273" w:lineRule="atLeast"/>
      <w:ind w:left="0" w:right="0" w:firstLine="0"/>
      <w:jc w:val="left"/>
      <w:outlineLvl w:val="2"/>
    </w:pPr>
    <w:rPr>
      <w:rFonts w:ascii="IBM Plex Sans" w:hAnsi="IBM Plex Sans"/>
      <w:b w:val="true"/>
      <w:bCs w:val="true"/>
      <w:i w:val="false"/>
      <w:iCs w:val="false"/>
      <w:caps w:val="true"/>
      <w:color w:val="1A237E"/>
      <w:spacing w:val="16"/>
      <w:sz w:val="22"/>
      <w:szCs w:val="22"/>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BM Plex Serif" w:hAnsi="IBM Plex Serif"/>
      <w:b w:val="true"/>
      <w:bCs w:val="true"/>
      <w:i w:val="false"/>
      <w:iCs w:val="false"/>
      <w:caps w:val="false"/>
      <w:color w:val="1A237E"/>
      <w:spacing w:val="-1"/>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BM Plex Sans" w:hAnsi="IBM Plex Sans"/>
      <w:b w:val="true"/>
      <w:bCs w:val="true"/>
      <w:i w:val="false"/>
      <w:iCs w:val="false"/>
      <w:caps w:val="true"/>
      <w:color w:val="1A237E"/>
      <w:spacing w:val="16"/>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BM Plex Sans" w:hAnsi="IBM Plex Sans"/>
      <w:b w:val="true"/>
      <w:bCs w:val="true"/>
      <w:i w:val="false"/>
      <w:iCs w:val="false"/>
      <w:caps w:val="true"/>
      <w:color w:val="1A237E"/>
      <w:spacing w:val="16"/>
      <w:sz w:val="18"/>
      <w:szCs w:val="18"/>
    </w:rPr>
  </w:style>
  <w:style w:type="paragraph" w:styleId="DocumentTitle" w:customStyle="true">
    <w:name w:val="Document Title"/>
    <w:basedOn w:val="Normal"/>
    <w:next w:val="Normal"/>
    <w:qFormat/>
    <w:pPr>
      <w:keepNext/>
      <w:keepLines/>
      <w:pBdr>
        <w:bottom w:val="single" w:color="F5A524" w:sz="8" w:space="7"/>
      </w:pBdr>
      <w:suppressAutoHyphens/>
      <w:spacing w:before="0" w:after="742" w:line="527" w:lineRule="atLeast"/>
      <w:ind w:left="0" w:right="0" w:firstLine="0"/>
      <w:jc w:val="left"/>
      <w:outlineLvl w:val="0"/>
    </w:pPr>
    <w:rPr>
      <w:rFonts w:ascii="IBM Plex Serif" w:hAnsi="IBM Plex Serif"/>
      <w:b w:val="false"/>
      <w:bCs w:val="false"/>
      <w:i w:val="false"/>
      <w:iCs w:val="false"/>
      <w:caps w:val="false"/>
      <w:color w:val="1A237E"/>
      <w:spacing w:val="-7"/>
      <w:sz w:val="49"/>
      <w:szCs w:val="49"/>
    </w:rPr>
  </w:style>
  <w:style w:type="paragraph" w:styleId="TOCHeading">
    <w:name w:val="TOC Heading"/>
    <w:basedOn w:val="Normal"/>
    <w:qFormat/>
    <w:pPr>
      <w:keepNext/>
      <w:keepLines/>
      <w:pBdr>
        <w:bottom w:val="single" w:color="D6D9E8" w:sz="6" w:space="5"/>
      </w:pBdr>
      <w:suppressAutoHyphens/>
      <w:spacing w:before="0" w:after="344" w:line="381" w:lineRule="atLeast"/>
      <w:ind w:left="0" w:right="0" w:firstLine="0"/>
      <w:jc w:val="left"/>
    </w:pPr>
    <w:rPr>
      <w:rFonts w:ascii="IBM Plex Serif" w:hAnsi="IBM Plex Serif"/>
      <w:b w:val="true"/>
      <w:bCs w:val="true"/>
      <w:i w:val="false"/>
      <w:iCs w:val="false"/>
      <w:caps w:val="false"/>
      <w:color w:val="1A237E"/>
      <w:spacing w:val="-2"/>
      <w:sz w:val="31"/>
      <w:szCs w:val="31"/>
    </w:rPr>
  </w:style>
  <w:style w:type="paragraph" w:styleId="TOC1">
    <w:name w:val="TOC 1"/>
    <w:basedOn w:val="Normal"/>
    <w:qFormat/>
    <w:pPr>
      <w:keepLines/>
      <w:pBdr>
        <w:bottom w:val="single" w:color="D6D9E8" w:sz="6" w:space="5"/>
        <w:between w:val="single" w:color="D6D9E8" w:sz="6" w:space="5"/>
      </w:pBdr>
      <w:suppressAutoHyphens/>
      <w:spacing w:before="100" w:after="0" w:line="270" w:lineRule="atLeast"/>
      <w:ind w:left="0" w:right="0" w:firstLine="0"/>
      <w:jc w:val="left"/>
    </w:pPr>
    <w:rPr>
      <w:rFonts w:ascii="IBM Plex Serif" w:hAnsi="IBM Plex Serif"/>
      <w:b w:val="true"/>
      <w:bCs w:val="true"/>
      <w:i w:val="false"/>
      <w:iCs w:val="false"/>
      <w:caps w:val="false"/>
      <w:color w:val="1A237E"/>
      <w:sz w:val="20"/>
      <w:szCs w:val="20"/>
    </w:rPr>
  </w:style>
  <w:style w:type="paragraph" w:styleId="TOC2">
    <w:name w:val="TOC 2"/>
    <w:basedOn w:val="Normal"/>
    <w:qFormat/>
    <w:pPr>
      <w:keepLines/>
      <w:pBdr>
        <w:bottom w:val="single" w:color="D6D9E8" w:sz="6" w:space="5"/>
        <w:between w:val="single" w:color="D6D9E8" w:sz="6" w:space="5"/>
      </w:pBdr>
      <w:suppressAutoHyphens/>
      <w:spacing w:before="100" w:after="0" w:line="270" w:lineRule="atLeast"/>
      <w:ind w:left="240" w:right="0" w:firstLine="0"/>
      <w:jc w:val="left"/>
    </w:pPr>
    <w:rPr>
      <w:rFonts w:ascii="IBM Plex Sans" w:hAnsi="IBM Plex Sans"/>
      <w:b w:val="false"/>
      <w:bCs w:val="false"/>
      <w:i w:val="false"/>
      <w:iCs w:val="false"/>
      <w:caps w:val="false"/>
      <w:color w:val="1F2433"/>
      <w:sz w:val="20"/>
      <w:szCs w:val="20"/>
    </w:rPr>
  </w:style>
  <w:style w:type="paragraph" w:styleId="TOC3">
    <w:name w:val="TOC 3"/>
    <w:basedOn w:val="Normal"/>
    <w:qFormat/>
    <w:pPr>
      <w:keepLines/>
      <w:pBdr>
        <w:bottom w:val="single" w:color="D6D9E8" w:sz="6" w:space="5"/>
        <w:between w:val="single" w:color="D6D9E8" w:sz="6" w:space="5"/>
      </w:pBdr>
      <w:suppressAutoHyphens/>
      <w:spacing w:before="100" w:after="0" w:line="240" w:lineRule="atLeast"/>
      <w:ind w:left="480" w:right="0" w:firstLine="0"/>
      <w:jc w:val="left"/>
    </w:pPr>
    <w:rPr>
      <w:rFonts w:ascii="IBM Plex Sans" w:hAnsi="IBM Plex Sans"/>
      <w:b w:val="false"/>
      <w:bCs w:val="false"/>
      <w:i w:val="false"/>
      <w:iCs w:val="false"/>
      <w:caps w:val="false"/>
      <w:color w:val="5B6275"/>
      <w:sz w:val="18"/>
      <w:szCs w:val="18"/>
    </w:rPr>
  </w:style>
  <w:style w:type="paragraph" w:styleId="Caption">
    <w:name w:val="Caption"/>
    <w:basedOn w:val="Normal"/>
    <w:qFormat/>
    <w:pPr>
      <w:suppressAutoHyphens/>
      <w:spacing w:before="98" w:after="144" w:line="249" w:lineRule="atLeast"/>
      <w:ind w:left="0" w:right="0" w:firstLine="0"/>
      <w:jc w:val="center"/>
    </w:pPr>
    <w:rPr>
      <w:rFonts w:ascii="IBM Plex Sans" w:hAnsi="IBM Plex Sans"/>
      <w:b w:val="false"/>
      <w:bCs w:val="false"/>
      <w:i w:val="false"/>
      <w:iCs w:val="false"/>
      <w:caps w:val="false"/>
      <w:color w:val="5B6275"/>
      <w:sz w:val="18"/>
      <w:szCs w:val="18"/>
    </w:rPr>
  </w:style>
  <w:style w:type="paragraph" w:styleId="Attribution" w:customStyle="true">
    <w:name w:val="Attribution"/>
    <w:basedOn w:val="Normal"/>
    <w:qFormat/>
    <w:pPr>
      <w:spacing w:before="0" w:after="144" w:line="231" w:lineRule="atLeast"/>
      <w:ind w:left="0" w:right="0" w:firstLine="0"/>
      <w:jc w:val="center"/>
    </w:pPr>
    <w:rPr>
      <w:rFonts w:ascii="IBM Plex Sans" w:hAnsi="IBM Plex Sans"/>
      <w:b w:val="false"/>
      <w:bCs w:val="false"/>
      <w:i w:val="true"/>
      <w:iCs w:val="true"/>
      <w:caps w:val="false"/>
      <w:color w:val="5B6275"/>
      <w:sz w:val="18"/>
      <w:szCs w:val="18"/>
    </w:rPr>
  </w:style>
  <w:style w:type="paragraph" w:styleId="Quote">
    <w:name w:val="Quote"/>
    <w:basedOn w:val="Normal"/>
    <w:qFormat/>
    <w:pPr>
      <w:spacing w:before="230" w:after="144" w:line="316" w:lineRule="atLeast"/>
      <w:ind w:left="420" w:right="280" w:firstLine="0"/>
      <w:jc w:val="left"/>
    </w:pPr>
    <w:rPr>
      <w:rFonts w:ascii="IBM Plex Sans" w:hAnsi="IBM Plex Sans"/>
      <w:b w:val="false"/>
      <w:bCs w:val="false"/>
      <w:i w:val="true"/>
      <w:iCs w:val="true"/>
      <w:caps w:val="false"/>
      <w:color w:val="2F3547"/>
      <w:sz w:val="20"/>
      <w:szCs w:val="20"/>
    </w:rPr>
  </w:style>
  <w:style w:type="paragraph" w:styleId="QuoteSource" w:customStyle="true">
    <w:name w:val="Quote Source"/>
    <w:basedOn w:val="Normal"/>
    <w:qFormat/>
    <w:pPr>
      <w:spacing w:before="230" w:after="144" w:line="316" w:lineRule="atLeast"/>
      <w:ind w:left="420" w:right="280" w:firstLine="0"/>
      <w:jc w:val="left"/>
    </w:pPr>
    <w:rPr>
      <w:rFonts w:ascii="IBM Plex Sans" w:hAnsi="IBM Plex Sans"/>
      <w:b w:val="false"/>
      <w:bCs w:val="false"/>
      <w:i w:val="false"/>
      <w:iCs w:val="false"/>
      <w:caps w:val="false"/>
      <w:color w:val="2F3547"/>
      <w:sz w:val="18"/>
      <w:szCs w:val="18"/>
    </w:rPr>
  </w:style>
  <w:style w:type="paragraph" w:styleId="PullQuote" w:customStyle="true">
    <w:name w:val="Pull Quote"/>
    <w:basedOn w:val="Normal"/>
    <w:qFormat/>
    <w:pPr>
      <w:keepLines/>
      <w:pBdr>
        <w:top w:val="single" w:color="F5A524" w:sz="11" w:space="8"/>
        <w:bottom w:val="single" w:color="D6D9E8" w:sz="6" w:space="8"/>
      </w:pBdr>
      <w:spacing w:before="322" w:after="322" w:line="325" w:lineRule="atLeast"/>
      <w:ind w:left="0" w:right="0" w:firstLine="0"/>
      <w:jc w:val="left"/>
    </w:pPr>
    <w:rPr>
      <w:rFonts w:ascii="IBM Plex Serif" w:hAnsi="IBM Plex Serif"/>
      <w:b w:val="false"/>
      <w:bCs w:val="false"/>
      <w:i w:val="false"/>
      <w:iCs w:val="false"/>
      <w:caps w:val="false"/>
      <w:color w:val="1A237E"/>
      <w:sz w:val="25"/>
      <w:szCs w:val="25"/>
    </w:rPr>
  </w:style>
  <w:style w:type="paragraph" w:styleId="Callout" w:customStyle="true">
    <w:name w:val="Callout"/>
    <w:basedOn w:val="Normal"/>
    <w:qFormat/>
    <w:pPr>
      <w:pBdr>
        <w:top w:val="single" w:color="F4F5FA" w:sz="2" w:space="8"/>
        <w:left w:val="single" w:color="F5A524"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Tip" w:customStyle="true">
    <w:name w:val="Callout Tip"/>
    <w:basedOn w:val="Normal"/>
    <w:qFormat/>
    <w:pPr>
      <w:pBdr>
        <w:top w:val="single" w:color="F4F5FA" w:sz="2" w:space="8"/>
        <w:left w:val="single" w:color="146C43"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Warning" w:customStyle="true">
    <w:name w:val="Callout Warning"/>
    <w:basedOn w:val="Normal"/>
    <w:qFormat/>
    <w:pPr>
      <w:pBdr>
        <w:top w:val="single" w:color="F4F5FA" w:sz="2" w:space="8"/>
        <w:left w:val="single" w:color="8A5300"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CalloutNote" w:customStyle="true">
    <w:name w:val="Callout Note"/>
    <w:basedOn w:val="Normal"/>
    <w:qFormat/>
    <w:pPr>
      <w:pBdr>
        <w:top w:val="single" w:color="F4F5FA" w:sz="2" w:space="8"/>
        <w:left w:val="single" w:color="1A237E"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Panel" w:customStyle="true">
    <w:name w:val="Panel"/>
    <w:basedOn w:val="Normal"/>
    <w:qFormat/>
    <w:pPr>
      <w:pBdr>
        <w:top w:val="single" w:color="F4F5FA" w:sz="2" w:space="8"/>
        <w:left w:val="single" w:color="1A237E" w:sz="28" w:space="10"/>
        <w:bottom w:val="single" w:color="F4F5FA" w:sz="2" w:space="8"/>
        <w:right w:val="single" w:color="F4F5FA" w:sz="2" w:space="10"/>
      </w:pBdr>
      <w:shd w:val="clear" w:color="auto" w:fill="F4F5FA"/>
      <w:spacing w:before="230" w:after="144" w:line="316" w:lineRule="atLeast"/>
      <w:ind w:left="280" w:right="215" w:firstLine="0"/>
      <w:jc w:val="left"/>
    </w:pPr>
    <w:rPr>
      <w:rFonts w:ascii="IBM Plex Sans" w:hAnsi="IBM Plex Sans"/>
      <w:b w:val="false"/>
      <w:bCs w:val="false"/>
      <w:i w:val="false"/>
      <w:iCs w:val="false"/>
      <w:caps w:val="false"/>
      <w:color w:val="1F2433"/>
      <w:sz w:val="20"/>
      <w:szCs w:val="20"/>
    </w:rPr>
  </w:style>
  <w:style w:type="paragraph" w:styleId="PanelTop" w:customStyle="true">
    <w:name w:val="Panel Top"/>
    <w:basedOn w:val="Normal"/>
    <w:qFormat/>
    <w:pPr>
      <w:pBdr>
        <w:top w:val="single" w:color="1A237E" w:sz="28" w:space="8"/>
        <w:left w:val="single" w:color="F4F5FA" w:sz="2" w:space="10"/>
        <w:bottom w:val="single" w:color="F4F5FA" w:sz="2" w:space="8"/>
        <w:right w:val="single" w:color="F4F5FA" w:sz="2" w:space="10"/>
      </w:pBdr>
      <w:shd w:val="clear" w:color="auto" w:fill="F4F5FA"/>
      <w:spacing w:before="230" w:after="144" w:line="316" w:lineRule="atLeast"/>
      <w:ind w:left="215" w:right="215" w:firstLine="0"/>
      <w:jc w:val="left"/>
    </w:pPr>
    <w:rPr>
      <w:rFonts w:ascii="IBM Plex Sans" w:hAnsi="IBM Plex Sans"/>
      <w:b w:val="false"/>
      <w:bCs w:val="false"/>
      <w:i w:val="false"/>
      <w:iCs w:val="false"/>
      <w:caps w:val="false"/>
      <w:color w:val="1F2433"/>
      <w:sz w:val="20"/>
      <w:szCs w:val="20"/>
    </w:rPr>
  </w:style>
  <w:style w:type="paragraph" w:styleId="Code" w:customStyle="true">
    <w:name w:val="Code"/>
    <w:basedOn w:val="Normal"/>
    <w:qFormat/>
    <w:pPr>
      <w:pBdr>
        <w:top w:val="single" w:color="D6D9E8" w:sz="6" w:space="8"/>
        <w:left w:val="single" w:color="D6D9E8" w:sz="6" w:space="9"/>
        <w:bottom w:val="single" w:color="D6D9E8" w:sz="6" w:space="8"/>
        <w:right w:val="single" w:color="D6D9E8" w:sz="6" w:space="9"/>
      </w:pBdr>
      <w:shd w:val="clear" w:color="auto" w:fill="F4F5FA"/>
      <w:suppressAutoHyphens/>
      <w:spacing w:before="205" w:after="205" w:line="267" w:lineRule="atLeast"/>
      <w:ind w:left="193" w:right="193" w:firstLine="0"/>
      <w:contextualSpacing/>
      <w:jc w:val="left"/>
    </w:pPr>
    <w:rPr>
      <w:rFonts w:ascii="IBM Plex Mono" w:hAnsi="IBM Plex Mono"/>
      <w:b w:val="false"/>
      <w:bCs w:val="false"/>
      <w:i w:val="false"/>
      <w:iCs w:val="false"/>
      <w:caps w:val="false"/>
      <w:color w:val="1F2433"/>
      <w:sz w:val="18"/>
      <w:szCs w:val="18"/>
    </w:rPr>
  </w:style>
  <w:style w:type="paragraph" w:styleId="TableText" w:customStyle="true">
    <w:name w:val="Table Text"/>
    <w:basedOn w:val="Normal"/>
    <w:qFormat/>
    <w:pPr>
      <w:spacing w:before="0" w:after="0" w:line="253" w:lineRule="atLeast"/>
      <w:ind w:left="0" w:right="0" w:firstLine="0"/>
      <w:jc w:val="left"/>
    </w:pPr>
    <w:rPr>
      <w:rFonts w:ascii="IBM Plex Sans" w:hAnsi="IBM Plex Sans"/>
      <w:b w:val="false"/>
      <w:bCs w:val="false"/>
      <w:i w:val="false"/>
      <w:iCs w:val="false"/>
      <w:caps w:val="false"/>
      <w:color w:val="1F2433"/>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BM Plex Sans" w:hAnsi="IBM Plex Sans"/>
      <w:b w:val="true"/>
      <w:bCs w:val="true"/>
      <w:i w:val="false"/>
      <w:iCs w:val="false"/>
      <w:caps w:val="false"/>
      <w:color w:val="1A237E"/>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BM Plex Sans" w:hAnsi="IBM Plex Sans"/>
      <w:b w:val="true"/>
      <w:bCs w:val="true"/>
      <w:i w:val="false"/>
      <w:iCs w:val="false"/>
      <w:caps w:val="false"/>
      <w:color w:val="1A237E"/>
      <w:sz w:val="18"/>
      <w:szCs w:val="18"/>
    </w:rPr>
  </w:style>
  <w:style w:type="paragraph" w:styleId="Divider" w:customStyle="true">
    <w:name w:val="Divider"/>
    <w:basedOn w:val="Normal"/>
    <w:qFormat/>
    <w:pPr>
      <w:pBdr>
        <w:bottom w:val="single" w:color="D6D9E8" w:sz="6" w:space="0"/>
      </w:pBdr>
      <w:spacing w:before="236" w:after="380" w:line="20" w:lineRule="exact"/>
      <w:ind w:left="0" w:right="0" w:firstLine="0"/>
      <w:jc w:val="left"/>
    </w:pPr>
    <w:rPr>
      <w:rFonts w:ascii="IBM Plex Sans" w:hAnsi="IBM Plex Sans"/>
      <w:b w:val="false"/>
      <w:bCs w:val="false"/>
      <w:i w:val="false"/>
      <w:iCs w:val="false"/>
      <w:caps w:val="false"/>
      <w:color w:val="1F2433"/>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BM Plex Sans" w:hAnsi="IBM Plex Sans"/>
      <w:b w:val="false"/>
      <w:bCs w:val="false"/>
      <w:i w:val="false"/>
      <w:iCs w:val="false"/>
      <w:caps w:val="false"/>
      <w:color w:val="F5A524"/>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BM Plex Sans" w:hAnsi="IBM Plex Sans"/>
      <w:b w:val="false"/>
      <w:bCs w:val="false"/>
      <w:i w:val="false"/>
      <w:iCs w:val="false"/>
      <w:caps w:val="false"/>
      <w:color w:val="F5A524"/>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BM Plex Sans" w:hAnsi="IBM Plex Sans"/>
      <w:b w:val="true"/>
      <w:bCs w:val="true"/>
      <w:i w:val="false"/>
      <w:iCs w:val="false"/>
      <w:caps w:val="true"/>
      <w:color w:val="8F5B00"/>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BM Plex Serif" w:hAnsi="IBM Plex Serif"/>
      <w:b w:val="false"/>
      <w:bCs w:val="false"/>
      <w:i w:val="false"/>
      <w:iCs w:val="false"/>
      <w:caps w:val="false"/>
      <w:color w:val="1A237E"/>
      <w:spacing w:val="-8"/>
      <w:sz w:val="52"/>
      <w:szCs w:val="52"/>
    </w:rPr>
  </w:style>
  <w:style w:type="paragraph" w:styleId="Title">
    <w:name w:val="Title"/>
    <w:basedOn w:val="Normal"/>
    <w:qFormat/>
    <w:pPr>
      <w:keepNext/>
      <w:suppressAutoHyphens/>
      <w:spacing w:before="0" w:after="0" w:line="758" w:lineRule="atLeast"/>
      <w:ind w:left="0" w:right="0" w:firstLine="0"/>
      <w:jc w:val="left"/>
    </w:pPr>
    <w:rPr>
      <w:rFonts w:ascii="IBM Plex Serif" w:hAnsi="IBM Plex Serif"/>
      <w:b w:val="false"/>
      <w:bCs w:val="false"/>
      <w:i w:val="false"/>
      <w:iCs w:val="false"/>
      <w:caps w:val="false"/>
      <w:color w:val="FFFFFF"/>
      <w:spacing w:val="-11"/>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BM Plex Serif" w:hAnsi="IBM Plex Serif"/>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BM Plex Sans" w:hAnsi="IBM Plex Sans"/>
      <w:b w:val="false"/>
      <w:bCs w:val="false"/>
      <w:i w:val="false"/>
      <w:iCs w:val="false"/>
      <w:caps w:val="false"/>
      <w:color w:val="C5CAE6"/>
      <w:sz w:val="20"/>
      <w:szCs w:val="20"/>
    </w:rPr>
  </w:style>
  <w:style w:type="paragraph" w:styleId="CoverMeta" w:customStyle="true">
    <w:name w:val="Cover Meta"/>
    <w:basedOn w:val="Normal"/>
    <w:qFormat/>
    <w:pPr>
      <w:pBdr>
        <w:top w:val="single" w:color="C5CAE6" w:sz="6" w:space="8"/>
      </w:pBdr>
      <w:spacing w:before="140" w:after="0" w:line="249" w:lineRule="atLeast"/>
      <w:ind w:left="0" w:right="0" w:firstLine="0"/>
      <w:jc w:val="left"/>
    </w:pPr>
    <w:rPr>
      <w:rFonts w:ascii="IBM Plex Sans" w:hAnsi="IBM Plex Sans"/>
      <w:b w:val="false"/>
      <w:bCs w:val="false"/>
      <w:i w:val="false"/>
      <w:iCs w:val="false"/>
      <w:caps w:val="false"/>
      <w:color w:val="C5CAE6"/>
      <w:sz w:val="18"/>
      <w:szCs w:val="18"/>
    </w:rPr>
  </w:style>
  <w:style w:type="paragraph" w:styleId="CoverRule" w:customStyle="true">
    <w:name w:val="Cover Rule"/>
    <w:basedOn w:val="Normal"/>
    <w:qFormat/>
    <w:pPr>
      <w:keepNext/>
      <w:spacing w:before="0" w:after="0" w:line="20" w:lineRule="exact"/>
      <w:ind w:left="0" w:right="0" w:firstLine="0"/>
      <w:jc w:val="left"/>
    </w:pPr>
    <w:rPr>
      <w:rFonts w:ascii="IBM Plex Sans" w:hAnsi="IBM Plex Sans"/>
      <w:b w:val="false"/>
      <w:bCs w:val="false"/>
      <w:i w:val="false"/>
      <w:iCs w:val="false"/>
      <w:caps w:val="false"/>
      <w:color w:val="F5A524"/>
      <w:sz w:val="2"/>
      <w:szCs w:val="2"/>
    </w:rPr>
  </w:style>
  <w:style w:type="paragraph" w:styleId="Header">
    <w:name w:val="Header"/>
    <w:basedOn w:val="Normal"/>
    <w:qFormat/>
    <w:pPr>
      <w:suppressAutoHyphens/>
      <w:spacing w:before="0" w:after="0" w:line="288" w:lineRule="auto"/>
      <w:ind w:left="0" w:right="0" w:firstLine="0"/>
      <w:jc w:val="left"/>
    </w:pPr>
    <w:rPr>
      <w:rFonts w:ascii="IBM Plex Sans" w:hAnsi="IBM Plex Sans"/>
      <w:b w:val="false"/>
      <w:bCs w:val="false"/>
      <w:i w:val="false"/>
      <w:iCs w:val="false"/>
      <w:caps w:val="false"/>
      <w:color w:val="5B6275"/>
      <w:sz w:val="18"/>
      <w:szCs w:val="18"/>
    </w:rPr>
  </w:style>
  <w:style w:type="paragraph" w:styleId="Footer">
    <w:name w:val="Footer"/>
    <w:basedOn w:val="Normal"/>
    <w:qFormat/>
    <w:pPr>
      <w:suppressAutoHyphens/>
      <w:spacing w:before="0" w:after="0" w:line="288" w:lineRule="auto"/>
      <w:ind w:left="0" w:right="0" w:firstLine="0"/>
      <w:jc w:val="left"/>
    </w:pPr>
    <w:rPr>
      <w:rFonts w:ascii="IBM Plex Sans" w:hAnsi="IBM Plex Sans"/>
      <w:b w:val="false"/>
      <w:bCs w:val="false"/>
      <w:i w:val="false"/>
      <w:iCs w:val="false"/>
      <w:caps w:val="false"/>
      <w:color w:val="5B6275"/>
      <w:sz w:val="18"/>
      <w:szCs w:val="18"/>
    </w:rPr>
  </w:style>
  <w:style w:type="character" w:styleId="InlineCode" w:customStyle="true">
    <w:name w:val="Inline Code"/>
    <w:basedOn w:val="DefaultParagraphFont"/>
    <w:uiPriority w:val="99"/>
    <w:unhideWhenUsed/>
    <w:rPr>
      <w:rFonts w:ascii="IBM Plex Mono" w:hAnsi="IBM Plex Mono"/>
      <w:color w:val="1F2433"/>
      <w:sz w:val="17"/>
      <w:szCs w:val="17"/>
      <w:shd w:val="clear" w:color="auto" w:fill="F4F5FA"/>
    </w:rPr>
  </w:style>
  <w:style w:type="character" w:styleId="Hyperlink">
    <w:name w:val="Hyperlink"/>
    <w:basedOn w:val="DefaultParagraphFont"/>
    <w:uiPriority w:val="99"/>
    <w:unhideWhenUsed/>
    <w:rPr>
      <w:color w:val="283593"/>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141f883a8a8b4951" /><Relationship Type="http://schemas.openxmlformats.org/officeDocument/2006/relationships/footer" Target="/word/footer1.xml" Id="R5210b031bb514ad8" /><Relationship Type="http://schemas.openxmlformats.org/officeDocument/2006/relationships/hyperlink" Target="https://nextjs.org/docs/pages/building-your-application/rendering/static-site-generation" TargetMode="External" Id="R08bae02187714a6a" /><Relationship Type="http://schemas.openxmlformats.org/officeDocument/2006/relationships/hyperlink" Target="https://developer.mozilla.org/en-US/docs/Web/Performance" TargetMode="External" Id="Reb4194bb13fa45dc" /><Relationship Type="http://schemas.openxmlformats.org/officeDocument/2006/relationships/hyperlink" Target="https://web.dev/learn/performance" TargetMode="External" Id="Rd3d4aecd3e0648e5" /><Relationship Type="http://schemas.openxmlformats.org/officeDocument/2006/relationships/hyperlink" Target="https://jamstack.org/" TargetMode="External" Id="R490ebb08820245c6" /><Relationship Type="http://schemas.openxmlformats.org/officeDocument/2006/relationships/image" Target="/media/image.jpg" Id="R926725bb8f434c99" /><Relationship Type="http://schemas.openxmlformats.org/officeDocument/2006/relationships/hyperlink" Target="https://nextjs.org/docs/pages/building-your-application/rendering/static-site-generation" TargetMode="External" Id="R133d21003e7943f6" /><Relationship Type="http://schemas.openxmlformats.org/officeDocument/2006/relationships/hyperlink" Target="https://www.contentful.com/developers/docs/" TargetMode="External" Id="Ref410016f3904a1d" /><Relationship Type="http://schemas.openxmlformats.org/officeDocument/2006/relationships/image" Target="/media/image2.jpg" Id="Rac74d1f376b54903" /><Relationship Type="http://schemas.openxmlformats.org/officeDocument/2006/relationships/hyperlink" Target="https://developer.mozilla.org/en-US/docs/Web/Performance" TargetMode="External" Id="R0457a2bfc41f44f1" /><Relationship Type="http://schemas.openxmlformats.org/officeDocument/2006/relationships/hyperlink" Target="https://web.dev/learn/performance" TargetMode="External" Id="R16e2a909e01f458b" /><Relationship Type="http://schemas.openxmlformats.org/officeDocument/2006/relationships/image" Target="/media/image3.jpg" Id="Rbd72f178d804443b" /><Relationship Type="http://schemas.openxmlformats.org/officeDocument/2006/relationships/numbering" Target="/word/numbering.xml" Id="R3edd95465e314fd6" /><Relationship Type="http://schemas.openxmlformats.org/officeDocument/2006/relationships/image" Target="/media/image4.jpg" Id="Re24357cb8c90409a" /><Relationship Type="http://schemas.openxmlformats.org/officeDocument/2006/relationships/fontTable" Target="/word/fontTable.xml" Id="R7492b619128d4587" /><Relationship Type="http://schemas.openxmlformats.org/officeDocument/2006/relationships/settings" Target="/word/settings.xml" Id="R4ec27e33968d45c1" /></Relationships>
</file>