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7e245741de68473a" /></Relationships>
</file>

<file path=word/document.xml><?xml version="1.0" encoding="utf-8"?>
<w:document xmlns:w="http://schemas.openxmlformats.org/wordprocessingml/2006/main">
  <w:body>
    <w:tbl>
      <w:tblPr>
        <w:tblW w:w="11906" w:type="dxa"/>
        <w:tblInd w:w="0" w:type="dxa"/>
        <w:tblLayout w:type="fixed"/>
        <w:tblCellMar>
          <w:top w:w="0" w:type="dxa"/>
          <w:left w:w="0" w:type="dxa"/>
          <w:bottom w:w="0" w:type="dxa"/>
          <w:right w:w="0" w:type="dxa"/>
        </w:tblCellMar>
      </w:tblPr>
      <w:tblGrid>
        <w:gridCol w:w="11906"/>
      </w:tblGrid>
      <w:tr>
        <w:trPr>
          <w:cantSplit/>
          <w:trHeight w:val="16678" w:hRule="atLeast"/>
        </w:trPr>
        <w:tc>
          <w:tcPr>
            <w:tcW w:w="11906" w:type="dxa"/>
            <w:shd w:val="clear" w:color="auto" w:fill="151C4F"/>
            <w:tcMar>
              <w:top w:w="1440" w:type="dxa"/>
              <w:left w:w="1440" w:type="dxa"/>
              <w:bottom w:w="1982" w:type="dxa"/>
              <w:right w:w="1440" w:type="dxa"/>
            </w:tcMar>
            <w:vAlign w:val="bottom"/>
          </w:tcPr>
          <w:p>
            <w:pPr>
              <w:pStyle w:val="CoverRule"/>
              <w:keepNext/>
              <w:pBdr>
                <w:bottom w:val="single" w:color="F5A524" w:sz="28" w:space="0"/>
              </w:pBdr>
              <w:spacing w:before="0" w:after="200" w:line="20" w:lineRule="exact"/>
              <w:ind w:left="0" w:right="8506" w:firstLine="0"/>
              <w:rPr>
                <w:sz w:val="2"/>
                <w:szCs w:val="2"/>
              </w:rPr>
            </w:pPr>
          </w:p>
          <w:p>
            <w:pPr>
              <w:pStyle w:val="Title"/>
              <w:jc w:val="left"/>
            </w:pPr>
            <w:r>
              <w:rPr>
                <w:lang w:val="en-US"/>
              </w:rPr>
              <w:t xml:space="preserve">Should a Small Organisation Adopt the NIST Cybersecurity Framework 2.0?</w:t>
            </w:r>
          </w:p>
          <w:p>
            <w:pPr>
              <w:pStyle w:val="CoverMeta"/>
              <w:jc w:val="left"/>
            </w:pPr>
            <w:r>
              <w:rPr>
                <w:lang w:val="en-US"/>
              </w:rPr>
              <w:t xml:space="preserve">October 03, 2026</w:t>
            </w:r>
          </w:p>
        </w:tc>
      </w:tr>
    </w:tbl>
    <w:p>
      <w:pPr>
        <w:spacing w:before="0" w:after="0" w:line="20" w:lineRule="exact"/>
        <w:rPr>
          <w:sz w:val="2"/>
          <w:szCs w:val="2"/>
        </w:rPr>
        <w:sectPr>
          <w:type w:val="nextPage"/>
          <w:pgSz w:w="11906" w:h="16838" w:orient="portrait"/>
          <w:pgMar w:top="0" w:right="0" w:bottom="0" w:left="0" w:header="0" w:footer="0" w:gutter="0"/>
          <w:pgNumType w:fmt="decimal" w:start="1"/>
        </w:sectPr>
      </w:pPr>
    </w:p>
    <w:p>
      <w:pPr>
        <w:pStyle w:val="TOCHeading"/>
      </w:pPr>
      <w:r>
        <w:rPr>
          <w:lang w:val="en-US"/>
        </w:rPr>
        <w:t xml:space="preserve">Table of Contents</w:t>
      </w:r>
    </w:p>
    <w:p>
      <w:pPr>
        <w:pStyle w:val="TOC1"/>
      </w:pPr>
      <w:r>
        <w:rPr>
          <w:lang w:val="en-US"/>
        </w:rPr>
        <w:t xml:space="preserve">Executive Summary</w:t>
      </w:r>
    </w:p>
    <w:p>
      <w:pPr>
        <w:pStyle w:val="TOC2"/>
      </w:pPr>
      <w:r>
        <w:rPr>
          <w:lang w:val="en-US"/>
        </w:rPr>
        <w:t xml:space="preserve">Context and Objectives</w:t>
      </w:r>
    </w:p>
    <w:p>
      <w:pPr>
        <w:pStyle w:val="TOC1"/>
      </w:pPr>
      <w:r>
        <w:rPr>
          <w:lang w:val="en-US"/>
        </w:rPr>
        <w:t xml:space="preserve">Facts and Findings</w:t>
      </w:r>
    </w:p>
    <w:p>
      <w:pPr>
        <w:pStyle w:val="TOC1"/>
      </w:pPr>
      <w:r>
        <w:rPr>
          <w:lang w:val="en-US"/>
        </w:rPr>
        <w:t xml:space="preserve">Financial and Impact Model</w:t>
      </w:r>
    </w:p>
    <w:p>
      <w:pPr>
        <w:pStyle w:val="TOC1"/>
      </w:pPr>
      <w:r>
        <w:rPr>
          <w:lang w:val="en-US"/>
        </w:rPr>
        <w:t xml:space="preserve">Options and Trade-offs</w:t>
      </w:r>
    </w:p>
    <w:p>
      <w:pPr>
        <w:pStyle w:val="TOC1"/>
      </w:pPr>
      <w:r>
        <w:rPr>
          <w:lang w:val="en-US"/>
        </w:rPr>
        <w:t xml:space="preserve">Risks and Mitigations</w:t>
      </w:r>
    </w:p>
    <w:p>
      <w:pPr>
        <w:pStyle w:val="TOC1"/>
      </w:pPr>
      <w:r>
        <w:rPr>
          <w:lang w:val="en-US"/>
        </w:rPr>
        <w:t xml:space="preserve">Recommendation and Next Steps</w:t>
      </w:r>
    </w:p>
    <w:p>
      <w:pPr>
        <w:pStyle w:val="TOC1"/>
      </w:pPr>
      <w:r>
        <w:rPr>
          <w:lang w:val="en-US"/>
        </w:rPr>
        <w:t xml:space="preserve">Summary and Conclusion</w:t>
      </w:r>
    </w:p>
    <w:p>
      <w:pPr>
        <w:pStyle w:val="TOC1"/>
      </w:pPr>
      <w:r>
        <w:rPr>
          <w:lang w:val="en-US"/>
        </w:rPr>
        <w:t xml:space="preserve">Sources</w:t>
      </w:r>
    </w:p>
    <w:p>
      <w:r>
        <w:br w:type="page"/>
      </w:r>
    </w:p>
    <w:p>
      <w:pPr>
        <w:pStyle w:val="Heading2"/>
        <w:outlineLvl w:val="1"/>
      </w:pPr>
      <w:r>
        <w:rPr>
          <w:lang w:val="en-US"/>
        </w:rPr>
        <w:t xml:space="preserve">Executive Summary</w:t>
      </w:r>
    </w:p>
    <w:p>
      <w:pPr>
        <w:pStyle w:val="Normal"/>
      </w:pPr>
      <w:r>
        <w:rPr>
          <w:lang w:val="en-US"/>
        </w:rPr>
        <w:t xml:space="preserve">The NIST Cybersecurity Framework (CSF) 2.0 offers a practical, voluntary way for organizations of any size, sector, or maturity to manage cybersecurity risk. It gives executives, managers, and practitioners a common language for understanding, assessing, prioritizing, and communicating risk in relation to business goals, stakeholder expectations, and enterprise risk management. It describes desired outcomes without requiring one specific way to achieve them. [1]</w:t>
      </w:r>
    </w:p>
    <w:p>
      <w:pPr>
        <w:pStyle w:val="Normal"/>
      </w:pPr>
      <w:r>
        <w:rPr>
          <w:lang w:val="en-US"/>
        </w:rPr>
        <w:t xml:space="preserve">For executive leaders, the key decision is not whether to adopt a fixed checklist. It is whether to establish a risk-governed operating model that identifies critical assets and dependencies, selects suitable safeguards, prepares for incidents, and improves over time. At the center of the CSF 2.0 is GOVERN, which places leadership accountability, risk appetite, policy, oversight, and supply chain risk management at the foundation of cybersecurity decisions. [1]</w:t>
      </w:r>
    </w:p>
    <w:p>
      <w:pPr>
        <w:pStyle w:val="Normal"/>
      </w:pPr>
      <w:r>
        <w:rPr>
          <w:lang w:val="en-US"/>
        </w:rPr>
        <w:t xml:space="preserve">A practical adoption path uses a Current Profile, a risk-informed Target Profile, and a prioritized action plan. Early work should clarify ownership, inventory assets, identify critical data and service dependencies, manage access, test backups, monitor for threats, and document response and recovery responsibilities. The organization can tailor this work to its mission, risk tolerance, resources, legal obligations, and supplier relationships. [1] [2]</w:t>
      </w:r>
    </w:p>
    <w:p>
      <w:pPr>
        <w:pStyle w:val="Heading3"/>
        <w:outlineLvl w:val="2"/>
      </w:pPr>
      <w:r>
        <w:rPr>
          <w:lang w:val="en-US"/>
        </w:rPr>
        <w:t xml:space="preserve">Context and Objectives</w:t>
      </w:r>
    </w:p>
    <w:p>
      <w:pPr>
        <w:pStyle w:val="Normal"/>
      </w:pPr>
      <w:r>
        <w:rPr>
          <w:lang w:val="en-US"/>
        </w:rPr>
        <w:t xml:space="preserve">Cybersecurity risk is an enterprise concern. It can affect organizational goals, essential services, finances, privacy, supply chains, reputation, technology, and physical operations. NIST advises organizations to address cybersecurity risk alongside other enterprise risks rather than treat it as a separate technical issue. [1]</w:t>
      </w:r>
    </w:p>
    <w:p>
      <w:pPr>
        <w:pStyle w:val="Normal"/>
      </w:pPr>
      <w:r>
        <w:rPr>
          <w:lang w:val="en-US"/>
        </w:rPr>
        <w:t xml:space="preserve">CSF 2.0 helps organizations define outcomes that executives, managers, and practitioners can understand. It is neutral with respect to sector, country, and technology, and can be applied to information technology, the Internet of Things, operational technology, cloud, mobile, and artificial intelligence environments. [1]</w:t>
      </w:r>
    </w:p>
    <w:p>
      <w:pPr>
        <w:pStyle w:val="Normal"/>
      </w:pPr>
      <w:r>
        <w:rPr>
          <w:lang w:val="en-US"/>
        </w:rPr>
        <w:t xml:space="preserve">The executive goal should be a durable governance and decision process-not a one-time remediation effort or a show of compliance. The organization should identify what it needs to protect, which services and suppliers are critical, and how much disruption or unauthorized access it can tolerate. It can then use this information to set priorities. A Current Profile records outcomes that are being achieved or attempted and how well they are achieved. A Target Profile sets out the selected outcomes the organization intends to achieve. [1]</w:t>
      </w:r>
    </w:p>
    <w:p>
      <w:pPr>
        <w:pStyle w:val="Normal"/>
      </w:pPr>
      <w:r>
        <w:rPr>
          <w:lang w:val="en-US"/>
        </w:rPr>
        <w:t xml:space="preserve">For smaller organizations, or those with limited cybersecurity planning, NIST's quick start guidance recommends practical early steps: understand the mission and requirements, inventory assets, use multi-factor authentication where available, update and patch software, back up and test data, monitor for suspicious activity, and maintain incident response and recovery plans. [2]</w:t>
      </w:r>
    </w:p>
    <w:p>
      <w:pPr>
        <w:pStyle w:val="Heading2"/>
        <w:outlineLvl w:val="1"/>
      </w:pPr>
      <w:r>
        <w:rPr>
          <w:lang w:val="en-US"/>
        </w:rPr>
        <w:t xml:space="preserve">Facts and Findings</w:t>
      </w:r>
    </w:p>
    <w:p>
      <w:pPr>
        <w:pStyle w:val="Normal"/>
      </w:pPr>
      <w:r>
        <w:rPr>
          <w:lang w:val="en-US"/>
        </w:rPr>
        <w:t xml:space="preserve">CSF 2.0 is an outcome-based management framework, not a prescriptive technical standard. The findings below summarize its core elements and the related business implications.</w:t>
      </w:r>
    </w:p>
    <w:tbl>
      <w:tblPr>
        <w:tblW w:w="9026" w:type="dxa"/>
        <w:tblInd w:w="0" w:type="dxa"/>
        <w:tblBorders>
          <w:top w:val="nil"/>
          <w:left w:val="nil"/>
          <w:bottom w:val="single" w:color="D6D9E8" w:sz="6"/>
          <w:right w:val="nil"/>
          <w:insideH w:val="single" w:color="D6D9E8" w:sz="6"/>
          <w:insideV w:val="nil"/>
        </w:tblBorders>
        <w:tblLayout w:type="fixed"/>
        <w:tblCellMar>
          <w:top w:w="89" w:type="dxa"/>
          <w:left w:w="89" w:type="dxa"/>
          <w:bottom w:w="89" w:type="dxa"/>
          <w:right w:w="89" w:type="dxa"/>
        </w:tblCellMar>
      </w:tblPr>
      <w:tblGrid>
        <w:gridCol w:w="2257"/>
        <w:gridCol w:w="2257"/>
        <w:gridCol w:w="2256"/>
        <w:gridCol w:w="2256"/>
      </w:tblGrid>
      <w:tr>
        <w:trPr>
          <w:cantSplit/>
          <w:tblHeader/>
        </w:trPr>
        <w:tc>
          <w:tcPr>
            <w:tcW w:w="2257" w:type="dxa"/>
            <w:tcBorders>
              <w:bottom w:val="single" w:color="1A237E" w:sz="11" w:space="0"/>
            </w:tcBorders>
            <w:tcMar>
              <w:left w:w="0" w:type="dxa"/>
            </w:tcMar>
          </w:tcPr>
          <w:p>
            <w:pPr>
              <w:pStyle w:val="TableHeading"/>
              <w:spacing w:before="0" w:after="0" w:line="240" w:lineRule="auto"/>
              <w:ind w:left="0" w:right="0" w:firstLine="0"/>
              <w:jc w:val="left"/>
            </w:pPr>
            <w:r>
              <w:rPr>
                <w:b/>
                <w:lang w:val="en-US"/>
              </w:rPr>
              <w:t xml:space="preserve">Finding</w:t>
            </w:r>
          </w:p>
        </w:tc>
        <w:tc>
          <w:tcPr>
            <w:tcW w:w="2257" w:type="dxa"/>
            <w:tcBorders>
              <w:bottom w:val="single" w:color="1A237E" w:sz="11" w:space="0"/>
            </w:tcBorders>
          </w:tcPr>
          <w:p>
            <w:pPr>
              <w:pStyle w:val="TableHeading"/>
              <w:spacing w:before="0" w:after="0" w:line="240" w:lineRule="auto"/>
              <w:ind w:left="0" w:right="0" w:firstLine="0"/>
              <w:jc w:val="left"/>
            </w:pPr>
            <w:r>
              <w:rPr>
                <w:b/>
                <w:lang w:val="en-US"/>
              </w:rPr>
              <w:t xml:space="preserve">NIST Guidance</w:t>
            </w:r>
          </w:p>
        </w:tc>
        <w:tc>
          <w:tcPr>
            <w:tcW w:w="2256" w:type="dxa"/>
            <w:tcBorders>
              <w:bottom w:val="single" w:color="1A237E" w:sz="11" w:space="0"/>
            </w:tcBorders>
          </w:tcPr>
          <w:p>
            <w:pPr>
              <w:pStyle w:val="TableHeading"/>
              <w:spacing w:before="0" w:after="0" w:line="240" w:lineRule="auto"/>
              <w:ind w:left="0" w:right="0" w:firstLine="0"/>
              <w:jc w:val="left"/>
            </w:pPr>
            <w:r>
              <w:rPr>
                <w:b/>
                <w:lang w:val="en-US"/>
              </w:rPr>
              <w:t xml:space="preserve">Business Implication</w:t>
            </w:r>
          </w:p>
        </w:tc>
        <w:tc>
          <w:tcPr>
            <w:tcW w:w="2256" w:type="dxa"/>
            <w:tcBorders>
              <w:bottom w:val="single" w:color="1A237E" w:sz="11" w:space="0"/>
            </w:tcBorders>
          </w:tcPr>
          <w:p>
            <w:pPr>
              <w:pStyle w:val="TableHeading"/>
              <w:spacing w:before="0" w:after="0" w:line="240" w:lineRule="auto"/>
              <w:ind w:left="0" w:right="0" w:firstLine="0"/>
              <w:jc w:val="left"/>
            </w:pPr>
            <w:r>
              <w:rPr>
                <w:b/>
                <w:lang w:val="en-US"/>
              </w:rPr>
              <w:t xml:space="preserve">Source</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It serves organizations of all sizes and sectors.</w:t>
            </w:r>
          </w:p>
        </w:tc>
        <w:tc>
          <w:tcPr>
            <w:tcW w:w="2257" w:type="dxa"/>
          </w:tcPr>
          <w:p>
            <w:pPr>
              <w:pStyle w:val="TableText"/>
              <w:spacing w:before="0" w:after="0" w:line="240" w:lineRule="auto"/>
              <w:ind w:left="0" w:right="0" w:firstLine="0"/>
              <w:jc w:val="left"/>
            </w:pPr>
            <w:r>
              <w:rPr>
                <w:lang w:val="en-US"/>
              </w:rPr>
              <w:t xml:space="preserve">The Framework is designed for industry, government, academia, and nonprofit organizations, regardless of cybersecurity maturity or technical sophistication. [1]</w:t>
            </w:r>
          </w:p>
        </w:tc>
        <w:tc>
          <w:tcPr>
            <w:tcW w:w="2256" w:type="dxa"/>
          </w:tcPr>
          <w:p>
            <w:pPr>
              <w:pStyle w:val="TableText"/>
              <w:spacing w:before="0" w:after="0" w:line="240" w:lineRule="auto"/>
              <w:ind w:left="0" w:right="0" w:firstLine="0"/>
              <w:jc w:val="left"/>
            </w:pPr>
            <w:r>
              <w:rPr>
                <w:lang w:val="en-US"/>
              </w:rPr>
              <w:t xml:space="preserve">Organizations can tailor adoption to their mission, scale, resources, and risk tolerance.</w:t>
            </w:r>
          </w:p>
        </w:tc>
        <w:tc>
          <w:tcPr>
            <w:tcW w:w="2256" w:type="dxa"/>
          </w:tcPr>
          <w:p>
            <w:pPr>
              <w:pStyle w:val="TableText"/>
              <w:spacing w:before="0" w:after="0" w:line="240" w:lineRule="auto"/>
              <w:ind w:left="0" w:right="0" w:firstLine="0"/>
              <w:jc w:val="left"/>
            </w:pPr>
            <w:r>
              <w:rPr>
                <w:lang w:val="en-US"/>
              </w:rPr>
              <w:t xml:space="preserve">[1]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It is voluntary and outcome-oriented.</w:t>
            </w:r>
          </w:p>
        </w:tc>
        <w:tc>
          <w:tcPr>
            <w:tcW w:w="2257" w:type="dxa"/>
          </w:tcPr>
          <w:p>
            <w:pPr>
              <w:pStyle w:val="TableText"/>
              <w:spacing w:before="0" w:after="0" w:line="240" w:lineRule="auto"/>
              <w:ind w:left="0" w:right="0" w:firstLine="0"/>
              <w:jc w:val="left"/>
            </w:pPr>
            <w:r>
              <w:rPr>
                <w:lang w:val="en-US"/>
              </w:rPr>
              <w:t xml:space="preserve">The CSF provides high-level cybersecurity outcomes but does not prescribe how to achieve them. [1]</w:t>
            </w:r>
          </w:p>
        </w:tc>
        <w:tc>
          <w:tcPr>
            <w:tcW w:w="2256" w:type="dxa"/>
          </w:tcPr>
          <w:p>
            <w:pPr>
              <w:pStyle w:val="TableText"/>
              <w:spacing w:before="0" w:after="0" w:line="240" w:lineRule="auto"/>
              <w:ind w:left="0" w:right="0" w:firstLine="0"/>
              <w:jc w:val="left"/>
            </w:pPr>
            <w:r>
              <w:rPr>
                <w:lang w:val="en-US"/>
              </w:rPr>
              <w:t xml:space="preserve">Leaders can select suitable controls, providers, policies, and processes.</w:t>
            </w:r>
          </w:p>
        </w:tc>
        <w:tc>
          <w:tcPr>
            <w:tcW w:w="2256" w:type="dxa"/>
          </w:tcPr>
          <w:p>
            <w:pPr>
              <w:pStyle w:val="TableText"/>
              <w:spacing w:before="0" w:after="0" w:line="240" w:lineRule="auto"/>
              <w:ind w:left="0" w:right="0" w:firstLine="0"/>
              <w:jc w:val="left"/>
            </w:pPr>
            <w:r>
              <w:rPr>
                <w:lang w:val="en-US"/>
              </w:rPr>
              <w:t xml:space="preserve">[1]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It is organized around six Functions.</w:t>
            </w:r>
          </w:p>
        </w:tc>
        <w:tc>
          <w:tcPr>
            <w:tcW w:w="2257" w:type="dxa"/>
          </w:tcPr>
          <w:p>
            <w:pPr>
              <w:pStyle w:val="TableText"/>
              <w:spacing w:before="0" w:after="0" w:line="240" w:lineRule="auto"/>
              <w:ind w:left="0" w:right="0" w:firstLine="0"/>
              <w:jc w:val="left"/>
            </w:pPr>
            <w:r>
              <w:rPr>
                <w:lang w:val="en-US"/>
              </w:rPr>
              <w:t xml:space="preserve">The Functions are GOVERN, IDENTIFY, PROTECT, DETECT, RESPOND, and RECOVER. [1]</w:t>
            </w:r>
          </w:p>
        </w:tc>
        <w:tc>
          <w:tcPr>
            <w:tcW w:w="2256" w:type="dxa"/>
          </w:tcPr>
          <w:p>
            <w:pPr>
              <w:pStyle w:val="TableText"/>
              <w:spacing w:before="0" w:after="0" w:line="240" w:lineRule="auto"/>
              <w:ind w:left="0" w:right="0" w:firstLine="0"/>
              <w:jc w:val="left"/>
            </w:pPr>
            <w:r>
              <w:rPr>
                <w:lang w:val="en-US"/>
              </w:rPr>
              <w:t xml:space="preserve">Together, they cover oversight, prevention, detection, response, restoration, and improvement.</w:t>
            </w:r>
          </w:p>
        </w:tc>
        <w:tc>
          <w:tcPr>
            <w:tcW w:w="2256" w:type="dxa"/>
          </w:tcPr>
          <w:p>
            <w:pPr>
              <w:pStyle w:val="TableText"/>
              <w:spacing w:before="0" w:after="0" w:line="240" w:lineRule="auto"/>
              <w:ind w:left="0" w:right="0" w:firstLine="0"/>
              <w:jc w:val="left"/>
            </w:pPr>
            <w:r>
              <w:rPr>
                <w:lang w:val="en-US"/>
              </w:rPr>
              <w:t xml:space="preserve">[1]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Governance guides the operating model.</w:t>
            </w:r>
          </w:p>
        </w:tc>
        <w:tc>
          <w:tcPr>
            <w:tcW w:w="2257" w:type="dxa"/>
          </w:tcPr>
          <w:p>
            <w:pPr>
              <w:pStyle w:val="TableText"/>
              <w:spacing w:before="0" w:after="0" w:line="240" w:lineRule="auto"/>
              <w:ind w:left="0" w:right="0" w:firstLine="0"/>
              <w:jc w:val="left"/>
            </w:pPr>
            <w:r>
              <w:rPr>
                <w:lang w:val="en-US"/>
              </w:rPr>
              <w:t xml:space="preserve">GOVERN establishes cybersecurity risk strategy, expectations, and policy, and informs the other five Functions in the context of mission and stakeholder needs. [1]</w:t>
            </w:r>
          </w:p>
        </w:tc>
        <w:tc>
          <w:tcPr>
            <w:tcW w:w="2256" w:type="dxa"/>
          </w:tcPr>
          <w:p>
            <w:pPr>
              <w:pStyle w:val="TableText"/>
              <w:spacing w:before="0" w:after="0" w:line="240" w:lineRule="auto"/>
              <w:ind w:left="0" w:right="0" w:firstLine="0"/>
              <w:jc w:val="left"/>
            </w:pPr>
            <w:r>
              <w:rPr>
                <w:lang w:val="en-US"/>
              </w:rPr>
              <w:t xml:space="preserve">Leadership accountability, decision rights, risk appetite, policy, and oversight should guide control investments.</w:t>
            </w:r>
          </w:p>
        </w:tc>
        <w:tc>
          <w:tcPr>
            <w:tcW w:w="2256" w:type="dxa"/>
          </w:tcPr>
          <w:p>
            <w:pPr>
              <w:pStyle w:val="TableText"/>
              <w:spacing w:before="0" w:after="0" w:line="240" w:lineRule="auto"/>
              <w:ind w:left="0" w:right="0" w:firstLine="0"/>
              <w:jc w:val="left"/>
            </w:pPr>
            <w:r>
              <w:rPr>
                <w:lang w:val="en-US"/>
              </w:rPr>
              <w:t xml:space="preserve">[1]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Cyber risk belongs in enterprise decisions.</w:t>
            </w:r>
          </w:p>
        </w:tc>
        <w:tc>
          <w:tcPr>
            <w:tcW w:w="2257" w:type="dxa"/>
          </w:tcPr>
          <w:p>
            <w:pPr>
              <w:pStyle w:val="TableText"/>
              <w:spacing w:before="0" w:after="0" w:line="240" w:lineRule="auto"/>
              <w:ind w:left="0" w:right="0" w:firstLine="0"/>
              <w:jc w:val="left"/>
            </w:pPr>
            <w:r>
              <w:rPr>
                <w:lang w:val="en-US"/>
              </w:rPr>
              <w:t xml:space="preserve">GOVERN includes integrating cybersecurity risk activities and outcomes into enterprise risk management. [1]</w:t>
            </w:r>
          </w:p>
        </w:tc>
        <w:tc>
          <w:tcPr>
            <w:tcW w:w="2256" w:type="dxa"/>
          </w:tcPr>
          <w:p>
            <w:pPr>
              <w:pStyle w:val="TableText"/>
              <w:spacing w:before="0" w:after="0" w:line="240" w:lineRule="auto"/>
              <w:ind w:left="0" w:right="0" w:firstLine="0"/>
              <w:jc w:val="left"/>
            </w:pPr>
            <w:r>
              <w:rPr>
                <w:lang w:val="en-US"/>
              </w:rPr>
              <w:t xml:space="preserve">Consider cybersecurity alongside financial, operational, privacy, supply chain, and reputational risks.</w:t>
            </w:r>
          </w:p>
        </w:tc>
        <w:tc>
          <w:tcPr>
            <w:tcW w:w="2256" w:type="dxa"/>
          </w:tcPr>
          <w:p>
            <w:pPr>
              <w:pStyle w:val="TableText"/>
              <w:spacing w:before="0" w:after="0" w:line="240" w:lineRule="auto"/>
              <w:ind w:left="0" w:right="0" w:firstLine="0"/>
              <w:jc w:val="left"/>
            </w:pPr>
            <w:r>
              <w:rPr>
                <w:lang w:val="en-US"/>
              </w:rPr>
              <w:t xml:space="preserve">[1]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Asset knowledge supports effective protection.</w:t>
            </w:r>
          </w:p>
        </w:tc>
        <w:tc>
          <w:tcPr>
            <w:tcW w:w="2257" w:type="dxa"/>
          </w:tcPr>
          <w:p>
            <w:pPr>
              <w:pStyle w:val="TableText"/>
              <w:spacing w:before="0" w:after="0" w:line="240" w:lineRule="auto"/>
              <w:ind w:left="0" w:right="0" w:firstLine="0"/>
              <w:jc w:val="left"/>
            </w:pPr>
            <w:r>
              <w:rPr>
                <w:lang w:val="en-US"/>
              </w:rPr>
              <w:t xml:space="preserve">IDENTIFY includes inventories of hardware, software, services, systems, supplier services, data, and related metadata. Assets should be prioritized by classification, criticality, resources, and mission impact. [1]</w:t>
            </w:r>
          </w:p>
        </w:tc>
        <w:tc>
          <w:tcPr>
            <w:tcW w:w="2256" w:type="dxa"/>
          </w:tcPr>
          <w:p>
            <w:pPr>
              <w:pStyle w:val="TableText"/>
              <w:spacing w:before="0" w:after="0" w:line="240" w:lineRule="auto"/>
              <w:ind w:left="0" w:right="0" w:firstLine="0"/>
              <w:jc w:val="left"/>
            </w:pPr>
            <w:r>
              <w:rPr>
                <w:lang w:val="en-US"/>
              </w:rPr>
              <w:t xml:space="preserve">Without a clear view of critical assets and services, leaders cannot reliably prioritize protection, recovery, or funding.</w:t>
            </w:r>
          </w:p>
        </w:tc>
        <w:tc>
          <w:tcPr>
            <w:tcW w:w="2256" w:type="dxa"/>
          </w:tcPr>
          <w:p>
            <w:pPr>
              <w:pStyle w:val="TableText"/>
              <w:spacing w:before="0" w:after="0" w:line="240" w:lineRule="auto"/>
              <w:ind w:left="0" w:right="0" w:firstLine="0"/>
              <w:jc w:val="left"/>
            </w:pPr>
            <w:r>
              <w:rPr>
                <w:lang w:val="en-US"/>
              </w:rPr>
              <w:t xml:space="preserve">[1]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Access management is a key safeguard.</w:t>
            </w:r>
          </w:p>
        </w:tc>
        <w:tc>
          <w:tcPr>
            <w:tcW w:w="2257" w:type="dxa"/>
          </w:tcPr>
          <w:p>
            <w:pPr>
              <w:pStyle w:val="TableText"/>
              <w:spacing w:before="0" w:after="0" w:line="240" w:lineRule="auto"/>
              <w:ind w:left="0" w:right="0" w:firstLine="0"/>
              <w:jc w:val="left"/>
            </w:pPr>
            <w:r>
              <w:rPr>
                <w:lang w:val="en-US"/>
              </w:rPr>
              <w:t xml:space="preserve">PROTECT covers managed identities and credentials, authentication, and access permissions based on least privilege and separation of duties. [1]</w:t>
            </w:r>
          </w:p>
        </w:tc>
        <w:tc>
          <w:tcPr>
            <w:tcW w:w="2256" w:type="dxa"/>
          </w:tcPr>
          <w:p>
            <w:pPr>
              <w:pStyle w:val="TableText"/>
              <w:spacing w:before="0" w:after="0" w:line="240" w:lineRule="auto"/>
              <w:ind w:left="0" w:right="0" w:firstLine="0"/>
              <w:jc w:val="left"/>
            </w:pPr>
            <w:r>
              <w:rPr>
                <w:lang w:val="en-US"/>
              </w:rPr>
              <w:t xml:space="preserve">Assign clear ownership for access decisions and limit sensitive information to people who need it for their work.</w:t>
            </w:r>
          </w:p>
        </w:tc>
        <w:tc>
          <w:tcPr>
            <w:tcW w:w="2256" w:type="dxa"/>
          </w:tcPr>
          <w:p>
            <w:pPr>
              <w:pStyle w:val="TableText"/>
              <w:spacing w:before="0" w:after="0" w:line="240" w:lineRule="auto"/>
              <w:ind w:left="0" w:right="0" w:firstLine="0"/>
              <w:jc w:val="left"/>
            </w:pPr>
            <w:r>
              <w:rPr>
                <w:lang w:val="en-US"/>
              </w:rPr>
              <w:t xml:space="preserve">[1] [2]</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Small organizations have practical starting actions.</w:t>
            </w:r>
          </w:p>
        </w:tc>
        <w:tc>
          <w:tcPr>
            <w:tcW w:w="2257" w:type="dxa"/>
          </w:tcPr>
          <w:p>
            <w:pPr>
              <w:pStyle w:val="TableText"/>
              <w:spacing w:before="0" w:after="0" w:line="240" w:lineRule="auto"/>
              <w:ind w:left="0" w:right="0" w:firstLine="0"/>
              <w:jc w:val="left"/>
            </w:pPr>
            <w:r>
              <w:rPr>
                <w:lang w:val="en-US"/>
              </w:rPr>
              <w:t xml:space="preserve">NIST recommends multi-factor authentication where available, changing default manufacturer passwords, updating and patching software and operating systems, backing up and testing data, and full-disk encryption for tablets and laptops. [2]</w:t>
            </w:r>
          </w:p>
        </w:tc>
        <w:tc>
          <w:tcPr>
            <w:tcW w:w="2256" w:type="dxa"/>
          </w:tcPr>
          <w:p>
            <w:pPr>
              <w:pStyle w:val="TableText"/>
              <w:spacing w:before="0" w:after="0" w:line="240" w:lineRule="auto"/>
              <w:ind w:left="0" w:right="0" w:firstLine="0"/>
              <w:jc w:val="left"/>
            </w:pPr>
            <w:r>
              <w:rPr>
                <w:lang w:val="en-US"/>
              </w:rPr>
              <w:t xml:space="preserve">These steps provide an initial control set where cybersecurity resources are limited or uneven.</w:t>
            </w:r>
          </w:p>
        </w:tc>
        <w:tc>
          <w:tcPr>
            <w:tcW w:w="2256" w:type="dxa"/>
          </w:tcPr>
          <w:p>
            <w:pPr>
              <w:pStyle w:val="TableText"/>
              <w:spacing w:before="0" w:after="0" w:line="240" w:lineRule="auto"/>
              <w:ind w:left="0" w:right="0" w:firstLine="0"/>
              <w:jc w:val="left"/>
            </w:pPr>
            <w:r>
              <w:rPr>
                <w:lang w:val="en-US"/>
              </w:rPr>
              <w:t xml:space="preserve">[2]</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Detection requires monitoring and analysis.</w:t>
            </w:r>
          </w:p>
        </w:tc>
        <w:tc>
          <w:tcPr>
            <w:tcW w:w="2257" w:type="dxa"/>
          </w:tcPr>
          <w:p>
            <w:pPr>
              <w:pStyle w:val="TableText"/>
              <w:spacing w:before="0" w:after="0" w:line="240" w:lineRule="auto"/>
              <w:ind w:left="0" w:right="0" w:firstLine="0"/>
              <w:jc w:val="left"/>
            </w:pPr>
            <w:r>
              <w:rPr>
                <w:lang w:val="en-US"/>
              </w:rPr>
              <w:t xml:space="preserve">DETECT covers monitoring networks, physical environments, personnel, external providers, hardware, software, runtime environments, and data for potentially adverse events. [1]</w:t>
            </w:r>
          </w:p>
        </w:tc>
        <w:tc>
          <w:tcPr>
            <w:tcW w:w="2256" w:type="dxa"/>
          </w:tcPr>
          <w:p>
            <w:pPr>
              <w:pStyle w:val="TableText"/>
              <w:spacing w:before="0" w:after="0" w:line="240" w:lineRule="auto"/>
              <w:ind w:left="0" w:right="0" w:firstLine="0"/>
              <w:jc w:val="left"/>
            </w:pPr>
            <w:r>
              <w:rPr>
                <w:lang w:val="en-US"/>
              </w:rPr>
              <w:t xml:space="preserve">Detection should include internal assets and relevant services provided by others.</w:t>
            </w:r>
          </w:p>
        </w:tc>
        <w:tc>
          <w:tcPr>
            <w:tcW w:w="2256" w:type="dxa"/>
          </w:tcPr>
          <w:p>
            <w:pPr>
              <w:pStyle w:val="TableText"/>
              <w:spacing w:before="0" w:after="0" w:line="240" w:lineRule="auto"/>
              <w:ind w:left="0" w:right="0" w:firstLine="0"/>
              <w:jc w:val="left"/>
            </w:pPr>
            <w:r>
              <w:rPr>
                <w:lang w:val="en-US"/>
              </w:rPr>
              <w:t xml:space="preserve">[1]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Incident readiness is a management responsibility.</w:t>
            </w:r>
          </w:p>
        </w:tc>
        <w:tc>
          <w:tcPr>
            <w:tcW w:w="2257" w:type="dxa"/>
          </w:tcPr>
          <w:p>
            <w:pPr>
              <w:pStyle w:val="TableText"/>
              <w:spacing w:before="0" w:after="0" w:line="240" w:lineRule="auto"/>
              <w:ind w:left="0" w:right="0" w:firstLine="0"/>
              <w:jc w:val="left"/>
            </w:pPr>
            <w:r>
              <w:rPr>
                <w:lang w:val="en-US"/>
              </w:rPr>
              <w:t xml:space="preserve">RESPOND includes executing an incident plan; validating, categorizing, and prioritizing reports; escalating and containing incidents; eradicating threats; and communicating with stakeholders. [1]</w:t>
            </w:r>
          </w:p>
        </w:tc>
        <w:tc>
          <w:tcPr>
            <w:tcW w:w="2256" w:type="dxa"/>
          </w:tcPr>
          <w:p>
            <w:pPr>
              <w:pStyle w:val="TableText"/>
              <w:spacing w:before="0" w:after="0" w:line="240" w:lineRule="auto"/>
              <w:ind w:left="0" w:right="0" w:firstLine="0"/>
              <w:jc w:val="left"/>
            </w:pPr>
            <w:r>
              <w:rPr>
                <w:lang w:val="en-US"/>
              </w:rPr>
              <w:t xml:space="preserve">Set incident authority, decision makers, escalation paths, reporting duties, and communications responsibilities before an incident occurs.</w:t>
            </w:r>
          </w:p>
        </w:tc>
        <w:tc>
          <w:tcPr>
            <w:tcW w:w="2256" w:type="dxa"/>
          </w:tcPr>
          <w:p>
            <w:pPr>
              <w:pStyle w:val="TableText"/>
              <w:spacing w:before="0" w:after="0" w:line="240" w:lineRule="auto"/>
              <w:ind w:left="0" w:right="0" w:firstLine="0"/>
              <w:jc w:val="left"/>
            </w:pPr>
            <w:r>
              <w:rPr>
                <w:lang w:val="en-US"/>
              </w:rPr>
              <w:t xml:space="preserve">[1] [2]</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Recovery includes more than restoring technology.</w:t>
            </w:r>
          </w:p>
        </w:tc>
        <w:tc>
          <w:tcPr>
            <w:tcW w:w="2257" w:type="dxa"/>
          </w:tcPr>
          <w:p>
            <w:pPr>
              <w:pStyle w:val="TableText"/>
              <w:spacing w:before="0" w:after="0" w:line="240" w:lineRule="auto"/>
              <w:ind w:left="0" w:right="0" w:firstLine="0"/>
              <w:jc w:val="left"/>
            </w:pPr>
            <w:r>
              <w:rPr>
                <w:lang w:val="en-US"/>
              </w:rPr>
              <w:t xml:space="preserve">RECOVER covers selecting, prioritizing, and performing recovery actions; verifying backup integrity before restoration; considering critical mission functions; and communicating progress to designated stakeholders. [1]</w:t>
            </w:r>
          </w:p>
        </w:tc>
        <w:tc>
          <w:tcPr>
            <w:tcW w:w="2256" w:type="dxa"/>
          </w:tcPr>
          <w:p>
            <w:pPr>
              <w:pStyle w:val="TableText"/>
              <w:spacing w:before="0" w:after="0" w:line="240" w:lineRule="auto"/>
              <w:ind w:left="0" w:right="0" w:firstLine="0"/>
              <w:jc w:val="left"/>
            </w:pPr>
            <w:r>
              <w:rPr>
                <w:lang w:val="en-US"/>
              </w:rPr>
              <w:t xml:space="preserve">Base recovery on business priorities and dependencies, and verify restoration assets before use.</w:t>
            </w:r>
          </w:p>
        </w:tc>
        <w:tc>
          <w:tcPr>
            <w:tcW w:w="2256" w:type="dxa"/>
          </w:tcPr>
          <w:p>
            <w:pPr>
              <w:pStyle w:val="TableText"/>
              <w:spacing w:before="0" w:after="0" w:line="240" w:lineRule="auto"/>
              <w:ind w:left="0" w:right="0" w:firstLine="0"/>
              <w:jc w:val="left"/>
            </w:pPr>
            <w:r>
              <w:rPr>
                <w:lang w:val="en-US"/>
              </w:rPr>
              <w:t xml:space="preserve">[1] [2]</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Profiles support ongoing improvement.</w:t>
            </w:r>
          </w:p>
        </w:tc>
        <w:tc>
          <w:tcPr>
            <w:tcW w:w="2257" w:type="dxa"/>
          </w:tcPr>
          <w:p>
            <w:pPr>
              <w:pStyle w:val="TableText"/>
              <w:spacing w:before="0" w:after="0" w:line="240" w:lineRule="auto"/>
              <w:ind w:left="0" w:right="0" w:firstLine="0"/>
              <w:jc w:val="left"/>
            </w:pPr>
            <w:r>
              <w:rPr>
                <w:lang w:val="en-US"/>
              </w:rPr>
              <w:t xml:space="preserve">A Current Profile describes outcomes being achieved or attempted; a Target Profile identifies desired, selected outcomes. The NIST process includes scoping, gathering information, creating Profiles, analyzing gaps, planning, implementing, and updating. [1]</w:t>
            </w:r>
          </w:p>
        </w:tc>
        <w:tc>
          <w:tcPr>
            <w:tcW w:w="2256" w:type="dxa"/>
          </w:tcPr>
          <w:p>
            <w:pPr>
              <w:pStyle w:val="TableText"/>
              <w:spacing w:before="0" w:after="0" w:line="240" w:lineRule="auto"/>
              <w:ind w:left="0" w:right="0" w:firstLine="0"/>
              <w:jc w:val="left"/>
            </w:pPr>
            <w:r>
              <w:rPr>
                <w:lang w:val="en-US"/>
              </w:rPr>
              <w:t xml:space="preserve">Profiles turn broad goals into an owned roadmap that can be reviewed and shared.</w:t>
            </w:r>
          </w:p>
        </w:tc>
        <w:tc>
          <w:tcPr>
            <w:tcW w:w="2256" w:type="dxa"/>
          </w:tcPr>
          <w:p>
            <w:pPr>
              <w:pStyle w:val="TableText"/>
              <w:spacing w:before="0" w:after="0" w:line="240" w:lineRule="auto"/>
              <w:ind w:left="0" w:right="0" w:firstLine="0"/>
              <w:jc w:val="left"/>
            </w:pPr>
            <w:r>
              <w:rPr>
                <w:lang w:val="en-US"/>
              </w:rPr>
              <w:t xml:space="preserve">[1]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Supplier risk is a governance concern.</w:t>
            </w:r>
          </w:p>
        </w:tc>
        <w:tc>
          <w:tcPr>
            <w:tcW w:w="2257" w:type="dxa"/>
          </w:tcPr>
          <w:p>
            <w:pPr>
              <w:pStyle w:val="TableText"/>
              <w:spacing w:before="0" w:after="0" w:line="240" w:lineRule="auto"/>
              <w:ind w:left="0" w:right="0" w:firstLine="0"/>
              <w:jc w:val="left"/>
            </w:pPr>
            <w:r>
              <w:rPr>
                <w:lang w:val="en-US"/>
              </w:rPr>
              <w:t xml:space="preserve">The Cybersecurity Supply Chain Risk Management Category addresses supplier criticality, contract requirements, due diligence, ongoing assessment, incident planning, monitoring, and post-relationship provisions. [1]</w:t>
            </w:r>
          </w:p>
        </w:tc>
        <w:tc>
          <w:tcPr>
            <w:tcW w:w="2256" w:type="dxa"/>
          </w:tcPr>
          <w:p>
            <w:pPr>
              <w:pStyle w:val="TableText"/>
              <w:spacing w:before="0" w:after="0" w:line="240" w:lineRule="auto"/>
              <w:ind w:left="0" w:right="0" w:firstLine="0"/>
              <w:jc w:val="left"/>
            </w:pPr>
            <w:r>
              <w:rPr>
                <w:lang w:val="en-US"/>
              </w:rPr>
              <w:t xml:space="preserve">Embed third-party oversight in procurement, contracts, service governance, and incident planning.</w:t>
            </w:r>
          </w:p>
        </w:tc>
        <w:tc>
          <w:tcPr>
            <w:tcW w:w="2256" w:type="dxa"/>
          </w:tcPr>
          <w:p>
            <w:pPr>
              <w:pStyle w:val="TableText"/>
              <w:spacing w:before="0" w:after="0" w:line="240" w:lineRule="auto"/>
              <w:ind w:left="0" w:right="0" w:firstLine="0"/>
              <w:jc w:val="left"/>
            </w:pPr>
            <w:r>
              <w:rPr>
                <w:lang w:val="en-US"/>
              </w:rPr>
              <w:t xml:space="preserve">[1]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Tiers describe the rigor of risk practices.</w:t>
            </w:r>
          </w:p>
        </w:tc>
        <w:tc>
          <w:tcPr>
            <w:tcW w:w="2257" w:type="dxa"/>
          </w:tcPr>
          <w:p>
            <w:pPr>
              <w:pStyle w:val="TableText"/>
              <w:spacing w:before="0" w:after="0" w:line="240" w:lineRule="auto"/>
              <w:ind w:left="0" w:right="0" w:firstLine="0"/>
              <w:jc w:val="left"/>
            </w:pPr>
            <w:r>
              <w:rPr>
                <w:lang w:val="en-US"/>
              </w:rPr>
              <w:t xml:space="preserve">The Tiers are Partial (Tier 1), Risk Informed (Tier 2), Repeatable (Tier 3), and Adaptive (Tier 4). [1]</w:t>
            </w:r>
          </w:p>
        </w:tc>
        <w:tc>
          <w:tcPr>
            <w:tcW w:w="2256" w:type="dxa"/>
          </w:tcPr>
          <w:p>
            <w:pPr>
              <w:pStyle w:val="TableText"/>
              <w:spacing w:before="0" w:after="0" w:line="240" w:lineRule="auto"/>
              <w:ind w:left="0" w:right="0" w:firstLine="0"/>
              <w:jc w:val="left"/>
            </w:pPr>
            <w:r>
              <w:rPr>
                <w:lang w:val="en-US"/>
              </w:rPr>
              <w:t xml:space="preserve">Use Tiers to discuss the desired rigor of management practices, alongside-not instead of-the organization's own risk methodology.</w:t>
            </w:r>
          </w:p>
        </w:tc>
        <w:tc>
          <w:tcPr>
            <w:tcW w:w="2256" w:type="dxa"/>
          </w:tcPr>
          <w:p>
            <w:pPr>
              <w:pStyle w:val="TableText"/>
              <w:spacing w:before="0" w:after="0" w:line="240" w:lineRule="auto"/>
              <w:ind w:left="0" w:right="0" w:firstLine="0"/>
              <w:jc w:val="left"/>
            </w:pPr>
            <w:r>
              <w:rPr>
                <w:lang w:val="en-US"/>
              </w:rPr>
              <w:t xml:space="preserve">[1]</w:t>
            </w:r>
          </w:p>
        </w:tc>
      </w:tr>
    </w:tbl>
    <w:p>
      <w:pPr>
        <w:pStyle w:val="Normal"/>
      </w:pPr>
      <w:r>
        <w:rPr>
          <w:lang w:val="en-US"/>
        </w:rPr>
        <w:t xml:space="preserve">Three conclusions follow. First, all six Functions need attention. GOVERN, IDENTIFY, PROTECT, and DETECT operate continuously; RESPOND and RECOVER should always be ready and activated when needed. [1] Second, supplier dependencies are part of the organization's cybersecurity posture. Third, progress should be measured as movement from the Current Profile toward the Target Profile, supported by risk registers, action plans, performance information, and management review. [1]</w:t>
      </w:r>
    </w:p>
    <w:p>
      <w:pPr>
        <w:pStyle w:val="Heading2"/>
        <w:outlineLvl w:val="1"/>
      </w:pPr>
      <w:r>
        <w:rPr>
          <w:lang w:val="en-US"/>
        </w:rPr>
        <w:t xml:space="preserve">Financial and Impact Model</w:t>
      </w:r>
    </w:p>
    <w:p>
      <w:pPr>
        <w:pStyle w:val="Normal"/>
      </w:pPr>
      <w:r>
        <w:rPr>
          <w:lang w:val="en-US"/>
        </w:rPr>
        <w:t xml:space="preserve">The available sources provide no budgets, cost estimates, loss values, savings projections, or return-on-investment figures. A financially quantified business case cannot be derived from this evidence. Instead, leaders can use a maturity and decision-rigor model: select a level of governance and management rigor that fits the organization's risks, obligations, and cost-benefit considerations. NIST notes that higher Tiers may be appropriate when risks or mandates are greater, or when cost-benefit analysis supports a feasible, cost-effective reduction in cybersecurity risk. [1]</w:t>
      </w:r>
    </w:p>
    <w:tbl>
      <w:tblPr>
        <w:tblW w:w="9026" w:type="dxa"/>
        <w:tblInd w:w="0" w:type="dxa"/>
        <w:tblBorders>
          <w:top w:val="nil"/>
          <w:left w:val="nil"/>
          <w:bottom w:val="single" w:color="D6D9E8" w:sz="6"/>
          <w:right w:val="nil"/>
          <w:insideH w:val="single" w:color="D6D9E8" w:sz="6"/>
          <w:insideV w:val="nil"/>
        </w:tblBorders>
        <w:tblLayout w:type="fixed"/>
        <w:tblCellMar>
          <w:top w:w="89" w:type="dxa"/>
          <w:left w:w="89" w:type="dxa"/>
          <w:bottom w:w="89" w:type="dxa"/>
          <w:right w:w="89" w:type="dxa"/>
        </w:tblCellMar>
      </w:tblPr>
      <w:tblGrid>
        <w:gridCol w:w="3009"/>
        <w:gridCol w:w="3009"/>
        <w:gridCol w:w="3008"/>
      </w:tblGrid>
      <w:tr>
        <w:trPr>
          <w:cantSplit/>
          <w:tblHeader/>
        </w:trPr>
        <w:tc>
          <w:tcPr>
            <w:tcW w:w="3009" w:type="dxa"/>
            <w:tcBorders>
              <w:bottom w:val="single" w:color="1A237E" w:sz="11" w:space="0"/>
            </w:tcBorders>
            <w:tcMar>
              <w:left w:w="0" w:type="dxa"/>
            </w:tcMar>
          </w:tcPr>
          <w:p>
            <w:pPr>
              <w:pStyle w:val="TableHeading"/>
              <w:spacing w:before="0" w:after="0" w:line="240" w:lineRule="auto"/>
              <w:ind w:left="0" w:right="0" w:firstLine="0"/>
              <w:jc w:val="left"/>
            </w:pPr>
            <w:r>
              <w:rPr>
                <w:b/>
                <w:lang w:val="en-US"/>
              </w:rPr>
              <w:t xml:space="preserve">Tier</w:t>
            </w:r>
          </w:p>
        </w:tc>
        <w:tc>
          <w:tcPr>
            <w:tcW w:w="3009" w:type="dxa"/>
            <w:tcBorders>
              <w:bottom w:val="single" w:color="1A237E" w:sz="11" w:space="0"/>
            </w:tcBorders>
          </w:tcPr>
          <w:p>
            <w:pPr>
              <w:pStyle w:val="TableHeading"/>
              <w:spacing w:before="0" w:after="0" w:line="240" w:lineRule="auto"/>
              <w:ind w:left="0" w:right="0" w:firstLine="0"/>
              <w:jc w:val="left"/>
            </w:pPr>
            <w:r>
              <w:rPr>
                <w:b/>
                <w:lang w:val="en-US"/>
              </w:rPr>
              <w:t xml:space="preserve">Profile of Practice</w:t>
            </w:r>
          </w:p>
        </w:tc>
        <w:tc>
          <w:tcPr>
            <w:tcW w:w="3008" w:type="dxa"/>
            <w:tcBorders>
              <w:bottom w:val="single" w:color="1A237E" w:sz="11" w:space="0"/>
            </w:tcBorders>
          </w:tcPr>
          <w:p>
            <w:pPr>
              <w:pStyle w:val="TableHeading"/>
              <w:spacing w:before="0" w:after="0" w:line="240" w:lineRule="auto"/>
              <w:ind w:left="0" w:right="0" w:firstLine="0"/>
              <w:jc w:val="left"/>
            </w:pPr>
            <w:r>
              <w:rPr>
                <w:b/>
                <w:lang w:val="en-US"/>
              </w:rPr>
              <w:t xml:space="preserve">Basis</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Partial (Tier 1)</w:t>
            </w:r>
          </w:p>
        </w:tc>
        <w:tc>
          <w:tcPr>
            <w:tcW w:w="3009" w:type="dxa"/>
          </w:tcPr>
          <w:p>
            <w:pPr>
              <w:pStyle w:val="TableText"/>
              <w:spacing w:before="0" w:after="0" w:line="240" w:lineRule="auto"/>
              <w:ind w:left="0" w:right="0" w:firstLine="0"/>
              <w:jc w:val="left"/>
            </w:pPr>
            <w:r>
              <w:rPr>
                <w:lang w:val="en-US"/>
              </w:rPr>
              <w:t xml:space="preserve">Ad hoc</w:t>
            </w:r>
          </w:p>
        </w:tc>
        <w:tc>
          <w:tcPr>
            <w:tcW w:w="3008" w:type="dxa"/>
          </w:tcPr>
          <w:p>
            <w:pPr>
              <w:pStyle w:val="TableText"/>
              <w:spacing w:before="0" w:after="0" w:line="240" w:lineRule="auto"/>
              <w:ind w:left="0" w:right="0" w:firstLine="0"/>
              <w:jc w:val="left"/>
            </w:pPr>
            <w:r>
              <w:rPr>
                <w:lang w:val="en-US"/>
              </w:rPr>
              <w:t xml:space="preserve">Cybersecurity risk strategy is managed informally; awareness and information sharing are limited. [1]</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Risk Informed (Tier 2)</w:t>
            </w:r>
          </w:p>
        </w:tc>
        <w:tc>
          <w:tcPr>
            <w:tcW w:w="3009" w:type="dxa"/>
          </w:tcPr>
          <w:p>
            <w:pPr>
              <w:pStyle w:val="TableText"/>
              <w:spacing w:before="0" w:after="0" w:line="240" w:lineRule="auto"/>
              <w:ind w:left="0" w:right="0" w:firstLine="0"/>
              <w:jc w:val="left"/>
            </w:pPr>
            <w:r>
              <w:rPr>
                <w:lang w:val="en-US"/>
              </w:rPr>
              <w:t xml:space="preserve">Management-approved practices</w:t>
            </w:r>
          </w:p>
        </w:tc>
        <w:tc>
          <w:tcPr>
            <w:tcW w:w="3008" w:type="dxa"/>
          </w:tcPr>
          <w:p>
            <w:pPr>
              <w:pStyle w:val="TableText"/>
              <w:spacing w:before="0" w:after="0" w:line="240" w:lineRule="auto"/>
              <w:ind w:left="0" w:right="0" w:firstLine="0"/>
              <w:jc w:val="left"/>
            </w:pPr>
            <w:r>
              <w:rPr>
                <w:lang w:val="en-US"/>
              </w:rPr>
              <w:t xml:space="preserve">Practices are approved, but an organization-wide approach may not exist and assessments may not be repeatable or recurring. [1]</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Repeatable (Tier 3)</w:t>
            </w:r>
          </w:p>
        </w:tc>
        <w:tc>
          <w:tcPr>
            <w:tcW w:w="3009" w:type="dxa"/>
          </w:tcPr>
          <w:p>
            <w:pPr>
              <w:pStyle w:val="TableText"/>
              <w:spacing w:before="0" w:after="0" w:line="240" w:lineRule="auto"/>
              <w:ind w:left="0" w:right="0" w:firstLine="0"/>
              <w:jc w:val="left"/>
            </w:pPr>
            <w:r>
              <w:rPr>
                <w:lang w:val="en-US"/>
              </w:rPr>
              <w:t xml:space="preserve">Formal and consistent</w:t>
            </w:r>
          </w:p>
        </w:tc>
        <w:tc>
          <w:tcPr>
            <w:tcW w:w="3008" w:type="dxa"/>
          </w:tcPr>
          <w:p>
            <w:pPr>
              <w:pStyle w:val="TableText"/>
              <w:spacing w:before="0" w:after="0" w:line="240" w:lineRule="auto"/>
              <w:ind w:left="0" w:right="0" w:firstLine="0"/>
              <w:jc w:val="left"/>
            </w:pPr>
            <w:r>
              <w:rPr>
                <w:lang w:val="en-US"/>
              </w:rPr>
              <w:t xml:space="preserve">Risk practices are formally approved and expressed as policy; an organization-wide approach and routine information sharing are in place. [1]</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Adaptive (Tier 4)</w:t>
            </w:r>
          </w:p>
        </w:tc>
        <w:tc>
          <w:tcPr>
            <w:tcW w:w="3009" w:type="dxa"/>
          </w:tcPr>
          <w:p>
            <w:pPr>
              <w:pStyle w:val="TableText"/>
              <w:spacing w:before="0" w:after="0" w:line="240" w:lineRule="auto"/>
              <w:ind w:left="0" w:right="0" w:firstLine="0"/>
              <w:jc w:val="left"/>
            </w:pPr>
            <w:r>
              <w:rPr>
                <w:lang w:val="en-US"/>
              </w:rPr>
              <w:t xml:space="preserve">Continuously improving</w:t>
            </w:r>
          </w:p>
        </w:tc>
        <w:tc>
          <w:tcPr>
            <w:tcW w:w="3008" w:type="dxa"/>
          </w:tcPr>
          <w:p>
            <w:pPr>
              <w:pStyle w:val="TableText"/>
              <w:spacing w:before="0" w:after="0" w:line="240" w:lineRule="auto"/>
              <w:ind w:left="0" w:right="0" w:firstLine="0"/>
              <w:jc w:val="left"/>
            </w:pPr>
            <w:r>
              <w:rPr>
                <w:lang w:val="en-US"/>
              </w:rPr>
              <w:t xml:space="preserve">Practices adapt using lessons learned, advanced practices, continuous improvement, and predictive indicators. [1]</w:t>
            </w:r>
          </w:p>
        </w:tc>
      </w:tr>
    </w:tbl>
    <w:p>
      <w:pPr>
        <w:pStyle w:val="Normal"/>
      </w:pPr>
      <w:r>
        <w:rPr>
          <w:lang w:val="en-US"/>
        </w:rPr>
        <w:t xml:space="preserve">This comparison is not a cost scale, value scale, or required maturity target. The Tiers describe the rigor of practices, not financial impact. [1] An organization with informal practices might aim for the consistency of Tier 3. An organization facing changing or sophisticated risks might need more adaptive practices. The appropriate target depends on mission goals, stakeholder expectations, risk appetite, legal and contractual duties, resources, and supplier dependencies. [1]</w:t>
      </w:r>
    </w:p>
    <w:p>
      <w:pPr>
        <w:pStyle w:val="Normal"/>
      </w:pPr>
      <w:r>
        <w:rPr>
          <w:lang w:val="en-US"/>
        </w:rPr>
        <w:t xml:space="preserve">Use Profile gap analysis to sequence investment. NIST recommends identifying differences between Current and Target Profiles and creating a prioritized action plan, such as a risk register, risk detail report, or Plan of Action and Milestones. [1] This gives leaders a defensible way to direct available resources toward consequential gaps without making unsupported claims about universal cost effectiveness.</w:t>
      </w:r>
    </w:p>
    <w:p>
      <w:pPr>
        <w:pStyle w:val="Heading2"/>
        <w:outlineLvl w:val="1"/>
      </w:pPr>
      <w:r>
        <w:rPr>
          <w:lang w:val="en-US"/>
        </w:rPr>
        <w:t xml:space="preserve">Options and Trade-offs</w:t>
      </w:r>
    </w:p>
    <w:p>
      <w:pPr>
        <w:pStyle w:val="Normal"/>
      </w:pPr>
      <w:r>
        <w:rPr>
          <w:lang w:val="en-US"/>
        </w:rPr>
        <w:t xml:space="preserve">The options below draw on the CSF and NIST's small business quick start guidance. They can be combined, but each reflects a different choice about speed, rigor, and the operating model.</w:t>
      </w:r>
    </w:p>
    <w:tbl>
      <w:tblPr>
        <w:tblW w:w="9026" w:type="dxa"/>
        <w:tblInd w:w="0" w:type="dxa"/>
        <w:tblBorders>
          <w:top w:val="nil"/>
          <w:left w:val="nil"/>
          <w:bottom w:val="single" w:color="D6D9E8" w:sz="6"/>
          <w:right w:val="nil"/>
          <w:insideH w:val="single" w:color="D6D9E8" w:sz="6"/>
          <w:insideV w:val="nil"/>
        </w:tblBorders>
        <w:tblLayout w:type="fixed"/>
        <w:tblCellMar>
          <w:top w:w="89" w:type="dxa"/>
          <w:left w:w="89" w:type="dxa"/>
          <w:bottom w:w="89" w:type="dxa"/>
          <w:right w:w="89" w:type="dxa"/>
        </w:tblCellMar>
      </w:tblPr>
      <w:tblGrid>
        <w:gridCol w:w="2257"/>
        <w:gridCol w:w="2257"/>
        <w:gridCol w:w="2256"/>
        <w:gridCol w:w="2256"/>
      </w:tblGrid>
      <w:tr>
        <w:trPr>
          <w:cantSplit/>
          <w:tblHeader/>
        </w:trPr>
        <w:tc>
          <w:tcPr>
            <w:tcW w:w="2257" w:type="dxa"/>
            <w:tcBorders>
              <w:bottom w:val="single" w:color="1A237E" w:sz="11" w:space="0"/>
            </w:tcBorders>
            <w:tcMar>
              <w:left w:w="0" w:type="dxa"/>
            </w:tcMar>
          </w:tcPr>
          <w:p>
            <w:pPr>
              <w:pStyle w:val="TableHeading"/>
              <w:spacing w:before="0" w:after="0" w:line="240" w:lineRule="auto"/>
              <w:ind w:left="0" w:right="0" w:firstLine="0"/>
              <w:jc w:val="left"/>
            </w:pPr>
            <w:r>
              <w:rPr>
                <w:b/>
                <w:lang w:val="en-US"/>
              </w:rPr>
              <w:t xml:space="preserve">Option</w:t>
            </w:r>
          </w:p>
        </w:tc>
        <w:tc>
          <w:tcPr>
            <w:tcW w:w="2257" w:type="dxa"/>
            <w:tcBorders>
              <w:bottom w:val="single" w:color="1A237E" w:sz="11" w:space="0"/>
            </w:tcBorders>
          </w:tcPr>
          <w:p>
            <w:pPr>
              <w:pStyle w:val="TableHeading"/>
              <w:spacing w:before="0" w:after="0" w:line="240" w:lineRule="auto"/>
              <w:ind w:left="0" w:right="0" w:firstLine="0"/>
              <w:jc w:val="left"/>
            </w:pPr>
            <w:r>
              <w:rPr>
                <w:b/>
                <w:lang w:val="en-US"/>
              </w:rPr>
              <w:t xml:space="preserve">Upside</w:t>
            </w:r>
          </w:p>
        </w:tc>
        <w:tc>
          <w:tcPr>
            <w:tcW w:w="2256" w:type="dxa"/>
            <w:tcBorders>
              <w:bottom w:val="single" w:color="1A237E" w:sz="11" w:space="0"/>
            </w:tcBorders>
          </w:tcPr>
          <w:p>
            <w:pPr>
              <w:pStyle w:val="TableHeading"/>
              <w:spacing w:before="0" w:after="0" w:line="240" w:lineRule="auto"/>
              <w:ind w:left="0" w:right="0" w:firstLine="0"/>
              <w:jc w:val="left"/>
            </w:pPr>
            <w:r>
              <w:rPr>
                <w:b/>
                <w:lang w:val="en-US"/>
              </w:rPr>
              <w:t xml:space="preserve">Trade-off</w:t>
            </w:r>
          </w:p>
        </w:tc>
        <w:tc>
          <w:tcPr>
            <w:tcW w:w="2256" w:type="dxa"/>
            <w:tcBorders>
              <w:bottom w:val="single" w:color="1A237E" w:sz="11" w:space="0"/>
            </w:tcBorders>
          </w:tcPr>
          <w:p>
            <w:pPr>
              <w:pStyle w:val="TableHeading"/>
              <w:spacing w:before="0" w:after="0" w:line="240" w:lineRule="auto"/>
              <w:ind w:left="0" w:right="0" w:firstLine="0"/>
              <w:jc w:val="left"/>
            </w:pPr>
            <w:r>
              <w:rPr>
                <w:b/>
                <w:lang w:val="en-US"/>
              </w:rPr>
              <w:t xml:space="preserve">Decision Factor</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Keep an informal, case-by-case approach</w:t>
            </w:r>
          </w:p>
        </w:tc>
        <w:tc>
          <w:tcPr>
            <w:tcW w:w="2257" w:type="dxa"/>
          </w:tcPr>
          <w:p>
            <w:pPr>
              <w:pStyle w:val="TableText"/>
              <w:spacing w:before="0" w:after="0" w:line="240" w:lineRule="auto"/>
              <w:ind w:left="0" w:right="0" w:firstLine="0"/>
              <w:jc w:val="left"/>
            </w:pPr>
            <w:r>
              <w:rPr>
                <w:lang w:val="en-US"/>
              </w:rPr>
              <w:t xml:space="preserve">Requires little initial structure and may seem easier to sustain when resources are constrained.</w:t>
            </w:r>
          </w:p>
        </w:tc>
        <w:tc>
          <w:tcPr>
            <w:tcW w:w="2256" w:type="dxa"/>
          </w:tcPr>
          <w:p>
            <w:pPr>
              <w:pStyle w:val="TableText"/>
              <w:spacing w:before="0" w:after="0" w:line="240" w:lineRule="auto"/>
              <w:ind w:left="0" w:right="0" w:firstLine="0"/>
              <w:jc w:val="left"/>
            </w:pPr>
            <w:r>
              <w:rPr>
                <w:lang w:val="en-US"/>
              </w:rPr>
              <w:t xml:space="preserve">Similar to Partial (Tier 1), where prioritization is ad hoc, management is irregular, information sharing may be limited, and supplier risks may be poorly understood. [1]</w:t>
            </w:r>
          </w:p>
        </w:tc>
        <w:tc>
          <w:tcPr>
            <w:tcW w:w="2256" w:type="dxa"/>
          </w:tcPr>
          <w:p>
            <w:pPr>
              <w:pStyle w:val="TableText"/>
              <w:spacing w:before="0" w:after="0" w:line="240" w:lineRule="auto"/>
              <w:ind w:left="0" w:right="0" w:firstLine="0"/>
              <w:jc w:val="left"/>
            </w:pPr>
            <w:r>
              <w:rPr>
                <w:lang w:val="en-US"/>
              </w:rPr>
              <w:t xml:space="preserve">Difficult to justify when critical services, sensitive data, regulatory obligations, or significant supplier dependencies require consistent oversight.</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Adopt the small business quick start baseline</w:t>
            </w:r>
          </w:p>
        </w:tc>
        <w:tc>
          <w:tcPr>
            <w:tcW w:w="2257" w:type="dxa"/>
          </w:tcPr>
          <w:p>
            <w:pPr>
              <w:pStyle w:val="TableText"/>
              <w:spacing w:before="0" w:after="0" w:line="240" w:lineRule="auto"/>
              <w:ind w:left="0" w:right="0" w:firstLine="0"/>
              <w:jc w:val="left"/>
            </w:pPr>
            <w:r>
              <w:rPr>
                <w:lang w:val="en-US"/>
              </w:rPr>
              <w:t xml:space="preserve">Offers practical first steps for governance, inventories, multi-factor authentication, patching, backups, detection, response, and recovery. [2]</w:t>
            </w:r>
          </w:p>
        </w:tc>
        <w:tc>
          <w:tcPr>
            <w:tcW w:w="2256" w:type="dxa"/>
          </w:tcPr>
          <w:p>
            <w:pPr>
              <w:pStyle w:val="TableText"/>
              <w:spacing w:before="0" w:after="0" w:line="240" w:lineRule="auto"/>
              <w:ind w:left="0" w:right="0" w:firstLine="0"/>
              <w:jc w:val="left"/>
            </w:pPr>
            <w:r>
              <w:rPr>
                <w:lang w:val="en-US"/>
              </w:rPr>
              <w:t xml:space="preserve">It supplements, but does not replace, the full CSF and may not meet complex enterprise, supplier, or risk management needs. [2]</w:t>
            </w:r>
          </w:p>
        </w:tc>
        <w:tc>
          <w:tcPr>
            <w:tcW w:w="2256" w:type="dxa"/>
          </w:tcPr>
          <w:p>
            <w:pPr>
              <w:pStyle w:val="TableText"/>
              <w:spacing w:before="0" w:after="0" w:line="240" w:lineRule="auto"/>
              <w:ind w:left="0" w:right="0" w:firstLine="0"/>
              <w:jc w:val="left"/>
            </w:pPr>
            <w:r>
              <w:rPr>
                <w:lang w:val="en-US"/>
              </w:rPr>
              <w:t xml:space="preserve">Useful when plans are limited or absent and leaders need an immediate starting point.</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Build Profiles and a prioritized action plan</w:t>
            </w:r>
          </w:p>
        </w:tc>
        <w:tc>
          <w:tcPr>
            <w:tcW w:w="2257" w:type="dxa"/>
          </w:tcPr>
          <w:p>
            <w:pPr>
              <w:pStyle w:val="TableText"/>
              <w:spacing w:before="0" w:after="0" w:line="240" w:lineRule="auto"/>
              <w:ind w:left="0" w:right="0" w:firstLine="0"/>
              <w:jc w:val="left"/>
            </w:pPr>
            <w:r>
              <w:rPr>
                <w:lang w:val="en-US"/>
              </w:rPr>
              <w:t xml:space="preserve">Connects outcomes to mission, stakeholder needs, threats, requirements, resources, and measurable gaps. [1]</w:t>
            </w:r>
          </w:p>
        </w:tc>
        <w:tc>
          <w:tcPr>
            <w:tcW w:w="2256" w:type="dxa"/>
          </w:tcPr>
          <w:p>
            <w:pPr>
              <w:pStyle w:val="TableText"/>
              <w:spacing w:before="0" w:after="0" w:line="240" w:lineRule="auto"/>
              <w:ind w:left="0" w:right="0" w:firstLine="0"/>
              <w:jc w:val="left"/>
            </w:pPr>
            <w:r>
              <w:rPr>
                <w:lang w:val="en-US"/>
              </w:rPr>
              <w:t xml:space="preserve">Requires cross-functional information gathering, ownership, and recurring review. [1]</w:t>
            </w:r>
          </w:p>
        </w:tc>
        <w:tc>
          <w:tcPr>
            <w:tcW w:w="2256" w:type="dxa"/>
          </w:tcPr>
          <w:p>
            <w:pPr>
              <w:pStyle w:val="TableText"/>
              <w:spacing w:before="0" w:after="0" w:line="240" w:lineRule="auto"/>
              <w:ind w:left="0" w:right="0" w:firstLine="0"/>
              <w:jc w:val="left"/>
            </w:pPr>
            <w:r>
              <w:rPr>
                <w:lang w:val="en-US"/>
              </w:rPr>
              <w:t xml:space="preserve">Suitable when leaders need a defensible roadmap and a way to prioritize investment.</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Target Repeatable practices</w:t>
            </w:r>
          </w:p>
        </w:tc>
        <w:tc>
          <w:tcPr>
            <w:tcW w:w="2257" w:type="dxa"/>
          </w:tcPr>
          <w:p>
            <w:pPr>
              <w:pStyle w:val="TableText"/>
              <w:spacing w:before="0" w:after="0" w:line="240" w:lineRule="auto"/>
              <w:ind w:left="0" w:right="0" w:firstLine="0"/>
              <w:jc w:val="left"/>
            </w:pPr>
            <w:r>
              <w:rPr>
                <w:lang w:val="en-US"/>
              </w:rPr>
              <w:t xml:space="preserve">Tier 3 includes approved policies, organization-wide risk management, routine information sharing, consistent risk responses, and regular executive communication. [1]</w:t>
            </w:r>
          </w:p>
        </w:tc>
        <w:tc>
          <w:tcPr>
            <w:tcW w:w="2256" w:type="dxa"/>
          </w:tcPr>
          <w:p>
            <w:pPr>
              <w:pStyle w:val="TableText"/>
              <w:spacing w:before="0" w:after="0" w:line="240" w:lineRule="auto"/>
              <w:ind w:left="0" w:right="0" w:firstLine="0"/>
              <w:jc w:val="left"/>
            </w:pPr>
            <w:r>
              <w:rPr>
                <w:lang w:val="en-US"/>
              </w:rPr>
              <w:t xml:space="preserve">Requires formal policy, repeatable processes, trained staff, routine monitoring, and governance discipline.</w:t>
            </w:r>
          </w:p>
        </w:tc>
        <w:tc>
          <w:tcPr>
            <w:tcW w:w="2256" w:type="dxa"/>
          </w:tcPr>
          <w:p>
            <w:pPr>
              <w:pStyle w:val="TableText"/>
              <w:spacing w:before="0" w:after="0" w:line="240" w:lineRule="auto"/>
              <w:ind w:left="0" w:right="0" w:firstLine="0"/>
              <w:jc w:val="left"/>
            </w:pPr>
            <w:r>
              <w:rPr>
                <w:lang w:val="en-US"/>
              </w:rPr>
              <w:t xml:space="preserve">Appropriate when consistency is needed but Tier 4 adaptation is not required or feasible.</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Target Adaptive practices</w:t>
            </w:r>
          </w:p>
        </w:tc>
        <w:tc>
          <w:tcPr>
            <w:tcW w:w="2257" w:type="dxa"/>
          </w:tcPr>
          <w:p>
            <w:pPr>
              <w:pStyle w:val="TableText"/>
              <w:spacing w:before="0" w:after="0" w:line="240" w:lineRule="auto"/>
              <w:ind w:left="0" w:right="0" w:firstLine="0"/>
              <w:jc w:val="left"/>
            </w:pPr>
            <w:r>
              <w:rPr>
                <w:lang w:val="en-US"/>
              </w:rPr>
              <w:t xml:space="preserve">Tier 4 emphasizes continuous improvement, lessons learned, predictive indicators, timely responses to sophisticated threats, and real-time or near-real-time supplier risk information. [1]</w:t>
            </w:r>
          </w:p>
        </w:tc>
        <w:tc>
          <w:tcPr>
            <w:tcW w:w="2256" w:type="dxa"/>
          </w:tcPr>
          <w:p>
            <w:pPr>
              <w:pStyle w:val="TableText"/>
              <w:spacing w:before="0" w:after="0" w:line="240" w:lineRule="auto"/>
              <w:ind w:left="0" w:right="0" w:firstLine="0"/>
              <w:jc w:val="left"/>
            </w:pPr>
            <w:r>
              <w:rPr>
                <w:lang w:val="en-US"/>
              </w:rPr>
              <w:t xml:space="preserve">Requires strong organizational integration, continuous information sharing, and the ability to adapt as conditions change. [1]</w:t>
            </w:r>
          </w:p>
        </w:tc>
        <w:tc>
          <w:tcPr>
            <w:tcW w:w="2256" w:type="dxa"/>
          </w:tcPr>
          <w:p>
            <w:pPr>
              <w:pStyle w:val="TableText"/>
              <w:spacing w:before="0" w:after="0" w:line="240" w:lineRule="auto"/>
              <w:ind w:left="0" w:right="0" w:firstLine="0"/>
              <w:jc w:val="left"/>
            </w:pPr>
            <w:r>
              <w:rPr>
                <w:lang w:val="en-US"/>
              </w:rPr>
              <w:t xml:space="preserve">Consider when the risk environment, mission dependence, or risk tolerance warrants this rigor.</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Use internal capability with external support</w:t>
            </w:r>
          </w:p>
        </w:tc>
        <w:tc>
          <w:tcPr>
            <w:tcW w:w="2257" w:type="dxa"/>
          </w:tcPr>
          <w:p>
            <w:pPr>
              <w:pStyle w:val="TableText"/>
              <w:spacing w:before="0" w:after="0" w:line="240" w:lineRule="auto"/>
              <w:ind w:left="0" w:right="0" w:firstLine="0"/>
              <w:jc w:val="left"/>
            </w:pPr>
            <w:r>
              <w:rPr>
                <w:lang w:val="en-US"/>
              </w:rPr>
              <w:t xml:space="preserve">NIST notes that organizations may use a managed security service provider when they lack resources to monitor computers and networks internally, or seek outside help for activities they cannot address confidently. [2]</w:t>
            </w:r>
          </w:p>
        </w:tc>
        <w:tc>
          <w:tcPr>
            <w:tcW w:w="2256" w:type="dxa"/>
          </w:tcPr>
          <w:p>
            <w:pPr>
              <w:pStyle w:val="TableText"/>
              <w:spacing w:before="0" w:after="0" w:line="240" w:lineRule="auto"/>
              <w:ind w:left="0" w:right="0" w:firstLine="0"/>
              <w:jc w:val="left"/>
            </w:pPr>
            <w:r>
              <w:rPr>
                <w:lang w:val="en-US"/>
              </w:rPr>
              <w:t xml:space="preserve">External services do not remove leadership accountability, supplier oversight, or the need to define incident roles and communications. [1] [2]</w:t>
            </w:r>
          </w:p>
        </w:tc>
        <w:tc>
          <w:tcPr>
            <w:tcW w:w="2256" w:type="dxa"/>
          </w:tcPr>
          <w:p>
            <w:pPr>
              <w:pStyle w:val="TableText"/>
              <w:spacing w:before="0" w:after="0" w:line="240" w:lineRule="auto"/>
              <w:ind w:left="0" w:right="0" w:firstLine="0"/>
              <w:jc w:val="left"/>
            </w:pPr>
            <w:r>
              <w:rPr>
                <w:lang w:val="en-US"/>
              </w:rPr>
              <w:t xml:space="preserve">Useful when internal staffing or expertise is insufficient, provided responsibilities and supplier risks are documented and monitored.</w:t>
            </w:r>
          </w:p>
        </w:tc>
      </w:tr>
    </w:tbl>
    <w:p>
      <w:pPr>
        <w:pStyle w:val="Normal"/>
      </w:pPr>
      <w:r>
        <w:rPr>
          <w:lang w:val="en-US"/>
        </w:rPr>
        <w:t xml:space="preserve">Governance and technical safeguards are not competing choices. GOVERN informs the other Functions, while the quick start guide offers practical early actions. [1] [2] A balanced approach is to build a Profile-led governance program while addressing foundational safeguards and preparedness without delay.</w:t>
      </w:r>
    </w:p>
    <w:p>
      <w:pPr>
        <w:pStyle w:val="Heading2"/>
        <w:outlineLvl w:val="1"/>
      </w:pPr>
      <w:r>
        <w:rPr>
          <w:lang w:val="en-US"/>
        </w:rPr>
        <w:t xml:space="preserve">Risks and Mitigations</w:t>
      </w:r>
    </w:p>
    <w:p>
      <w:pPr>
        <w:pStyle w:val="Normal"/>
      </w:pPr>
      <w:r>
        <w:rPr>
          <w:lang w:val="en-US"/>
        </w:rPr>
        <w:t xml:space="preserve">Key implementation risks involve governance, asset visibility, preparedness, and external dependencies. The following mitigations draw on CSF outcomes and the quick start guidance.</w:t>
      </w:r>
    </w:p>
    <w:tbl>
      <w:tblPr>
        <w:tblW w:w="9026" w:type="dxa"/>
        <w:tblInd w:w="0" w:type="dxa"/>
        <w:tblBorders>
          <w:top w:val="nil"/>
          <w:left w:val="nil"/>
          <w:bottom w:val="single" w:color="D6D9E8" w:sz="6"/>
          <w:right w:val="nil"/>
          <w:insideH w:val="single" w:color="D6D9E8" w:sz="6"/>
          <w:insideV w:val="nil"/>
        </w:tblBorders>
        <w:tblLayout w:type="fixed"/>
        <w:tblCellMar>
          <w:top w:w="89" w:type="dxa"/>
          <w:left w:w="89" w:type="dxa"/>
          <w:bottom w:w="89" w:type="dxa"/>
          <w:right w:w="89" w:type="dxa"/>
        </w:tblCellMar>
      </w:tblPr>
      <w:tblGrid>
        <w:gridCol w:w="2257"/>
        <w:gridCol w:w="2257"/>
        <w:gridCol w:w="2256"/>
        <w:gridCol w:w="2256"/>
      </w:tblGrid>
      <w:tr>
        <w:trPr>
          <w:cantSplit/>
          <w:tblHeader/>
        </w:trPr>
        <w:tc>
          <w:tcPr>
            <w:tcW w:w="2257" w:type="dxa"/>
            <w:tcBorders>
              <w:bottom w:val="single" w:color="1A237E" w:sz="11" w:space="0"/>
            </w:tcBorders>
            <w:tcMar>
              <w:left w:w="0" w:type="dxa"/>
            </w:tcMar>
          </w:tcPr>
          <w:p>
            <w:pPr>
              <w:pStyle w:val="TableHeading"/>
              <w:spacing w:before="0" w:after="0" w:line="240" w:lineRule="auto"/>
              <w:ind w:left="0" w:right="0" w:firstLine="0"/>
              <w:jc w:val="left"/>
            </w:pPr>
            <w:r>
              <w:rPr>
                <w:b/>
                <w:lang w:val="en-US"/>
              </w:rPr>
              <w:t xml:space="preserve">Risk</w:t>
            </w:r>
          </w:p>
        </w:tc>
        <w:tc>
          <w:tcPr>
            <w:tcW w:w="2257" w:type="dxa"/>
            <w:tcBorders>
              <w:bottom w:val="single" w:color="1A237E" w:sz="11" w:space="0"/>
            </w:tcBorders>
          </w:tcPr>
          <w:p>
            <w:pPr>
              <w:pStyle w:val="TableHeading"/>
              <w:spacing w:before="0" w:after="0" w:line="240" w:lineRule="auto"/>
              <w:ind w:left="0" w:right="0" w:firstLine="0"/>
              <w:jc w:val="left"/>
            </w:pPr>
            <w:r>
              <w:rPr>
                <w:b/>
                <w:lang w:val="en-US"/>
              </w:rPr>
              <w:t xml:space="preserve">Potential Impact</w:t>
            </w:r>
          </w:p>
        </w:tc>
        <w:tc>
          <w:tcPr>
            <w:tcW w:w="2256" w:type="dxa"/>
            <w:tcBorders>
              <w:bottom w:val="single" w:color="1A237E" w:sz="11" w:space="0"/>
            </w:tcBorders>
          </w:tcPr>
          <w:p>
            <w:pPr>
              <w:pStyle w:val="TableHeading"/>
              <w:spacing w:before="0" w:after="0" w:line="240" w:lineRule="auto"/>
              <w:ind w:left="0" w:right="0" w:firstLine="0"/>
              <w:jc w:val="left"/>
            </w:pPr>
            <w:r>
              <w:rPr>
                <w:b/>
                <w:lang w:val="en-US"/>
              </w:rPr>
              <w:t xml:space="preserve">Mitigation</w:t>
            </w:r>
          </w:p>
        </w:tc>
        <w:tc>
          <w:tcPr>
            <w:tcW w:w="2256" w:type="dxa"/>
            <w:tcBorders>
              <w:bottom w:val="single" w:color="1A237E" w:sz="11" w:space="0"/>
            </w:tcBorders>
          </w:tcPr>
          <w:p>
            <w:pPr>
              <w:pStyle w:val="TableHeading"/>
              <w:spacing w:before="0" w:after="0" w:line="240" w:lineRule="auto"/>
              <w:ind w:left="0" w:right="0" w:firstLine="0"/>
              <w:jc w:val="left"/>
            </w:pPr>
            <w:r>
              <w:rPr>
                <w:b/>
                <w:lang w:val="en-US"/>
              </w:rPr>
              <w:t xml:space="preserve">Owner or Note</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Cybersecurity is treated only as a technical function.</w:t>
            </w:r>
          </w:p>
        </w:tc>
        <w:tc>
          <w:tcPr>
            <w:tcW w:w="2257" w:type="dxa"/>
          </w:tcPr>
          <w:p>
            <w:pPr>
              <w:pStyle w:val="TableText"/>
              <w:spacing w:before="0" w:after="0" w:line="240" w:lineRule="auto"/>
              <w:ind w:left="0" w:right="0" w:firstLine="0"/>
              <w:jc w:val="left"/>
            </w:pPr>
            <w:r>
              <w:rPr>
                <w:lang w:val="en-US"/>
              </w:rPr>
              <w:t xml:space="preserve">Decisions may not reflect mission priorities, stakeholder expectations, risk appetite, resources, or enterprise risk objectives. [1]</w:t>
            </w:r>
          </w:p>
        </w:tc>
        <w:tc>
          <w:tcPr>
            <w:tcW w:w="2256" w:type="dxa"/>
          </w:tcPr>
          <w:p>
            <w:pPr>
              <w:pStyle w:val="TableText"/>
              <w:spacing w:before="0" w:after="0" w:line="240" w:lineRule="auto"/>
              <w:ind w:left="0" w:right="0" w:firstLine="0"/>
              <w:jc w:val="left"/>
            </w:pPr>
            <w:r>
              <w:rPr>
                <w:lang w:val="en-US"/>
              </w:rPr>
              <w:t xml:space="preserve">Under GOVERN, set leadership accountability, objectives, risk appetite and tolerance, roles, authorities, policy, and oversight. [1]</w:t>
            </w:r>
          </w:p>
        </w:tc>
        <w:tc>
          <w:tcPr>
            <w:tcW w:w="2256" w:type="dxa"/>
          </w:tcPr>
          <w:p>
            <w:pPr>
              <w:pStyle w:val="TableText"/>
              <w:spacing w:before="0" w:after="0" w:line="240" w:lineRule="auto"/>
              <w:ind w:left="0" w:right="0" w:firstLine="0"/>
              <w:jc w:val="left"/>
            </w:pPr>
            <w:r>
              <w:rPr>
                <w:lang w:val="en-US"/>
              </w:rPr>
              <w:t xml:space="preserve">Organizational leadership is responsible and accountable for cybersecurity risk.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Critical assets, data, services, or dependencies are unknown.</w:t>
            </w:r>
          </w:p>
        </w:tc>
        <w:tc>
          <w:tcPr>
            <w:tcW w:w="2257" w:type="dxa"/>
          </w:tcPr>
          <w:p>
            <w:pPr>
              <w:pStyle w:val="TableText"/>
              <w:spacing w:before="0" w:after="0" w:line="240" w:lineRule="auto"/>
              <w:ind w:left="0" w:right="0" w:firstLine="0"/>
              <w:jc w:val="left"/>
            </w:pPr>
            <w:r>
              <w:rPr>
                <w:lang w:val="en-US"/>
              </w:rPr>
              <w:t xml:space="preserve">Protection, monitoring, response, and restoration may not be prioritized reliably. [1]</w:t>
            </w:r>
          </w:p>
        </w:tc>
        <w:tc>
          <w:tcPr>
            <w:tcW w:w="2256" w:type="dxa"/>
          </w:tcPr>
          <w:p>
            <w:pPr>
              <w:pStyle w:val="TableText"/>
              <w:spacing w:before="0" w:after="0" w:line="240" w:lineRule="auto"/>
              <w:ind w:left="0" w:right="0" w:firstLine="0"/>
              <w:jc w:val="left"/>
            </w:pPr>
            <w:r>
              <w:rPr>
                <w:lang w:val="en-US"/>
              </w:rPr>
              <w:t xml:space="preserve">Maintain inventories of hardware, software, services, systems, supplier services, data, and relevant network data flows. Prioritize by classification, criticality, resources, and mission impact. [1]</w:t>
            </w:r>
          </w:p>
        </w:tc>
        <w:tc>
          <w:tcPr>
            <w:tcW w:w="2256" w:type="dxa"/>
          </w:tcPr>
          <w:p>
            <w:pPr>
              <w:pStyle w:val="TableText"/>
              <w:spacing w:before="0" w:after="0" w:line="240" w:lineRule="auto"/>
              <w:ind w:left="0" w:right="0" w:firstLine="0"/>
              <w:jc w:val="left"/>
            </w:pPr>
            <w:r>
              <w:rPr>
                <w:lang w:val="en-US"/>
              </w:rPr>
              <w:t xml:space="preserve">Asset and service owners should contribute to the Organizational Profile.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Unauthorized access affects sensitive information or systems.</w:t>
            </w:r>
          </w:p>
        </w:tc>
        <w:tc>
          <w:tcPr>
            <w:tcW w:w="2257" w:type="dxa"/>
          </w:tcPr>
          <w:p>
            <w:pPr>
              <w:pStyle w:val="TableText"/>
              <w:spacing w:before="0" w:after="0" w:line="240" w:lineRule="auto"/>
              <w:ind w:left="0" w:right="0" w:firstLine="0"/>
              <w:jc w:val="left"/>
            </w:pPr>
            <w:r>
              <w:rPr>
                <w:lang w:val="en-US"/>
              </w:rPr>
              <w:t xml:space="preserve">Confidentiality, integrity, and availability may be harmed. [1]</w:t>
            </w:r>
          </w:p>
        </w:tc>
        <w:tc>
          <w:tcPr>
            <w:tcW w:w="2256" w:type="dxa"/>
          </w:tcPr>
          <w:p>
            <w:pPr>
              <w:pStyle w:val="TableText"/>
              <w:spacing w:before="0" w:after="0" w:line="240" w:lineRule="auto"/>
              <w:ind w:left="0" w:right="0" w:firstLine="0"/>
              <w:jc w:val="left"/>
            </w:pPr>
            <w:r>
              <w:rPr>
                <w:lang w:val="en-US"/>
              </w:rPr>
              <w:t xml:space="preserve">Manage identities and credentials; authenticate users, services, and hardware; enforce least privilege and separation of duties; use multi-factor authentication where available; and change default manufacturer passwords. [1] [2]</w:t>
            </w:r>
          </w:p>
        </w:tc>
        <w:tc>
          <w:tcPr>
            <w:tcW w:w="2256" w:type="dxa"/>
          </w:tcPr>
          <w:p>
            <w:pPr>
              <w:pStyle w:val="TableText"/>
              <w:spacing w:before="0" w:after="0" w:line="240" w:lineRule="auto"/>
              <w:ind w:left="0" w:right="0" w:firstLine="0"/>
              <w:jc w:val="left"/>
            </w:pPr>
            <w:r>
              <w:rPr>
                <w:lang w:val="en-US"/>
              </w:rPr>
              <w:t xml:space="preserve">Access decisions should reflect assessed unauthorized-access risk.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Incident response is delayed or poorly coordinated.</w:t>
            </w:r>
          </w:p>
        </w:tc>
        <w:tc>
          <w:tcPr>
            <w:tcW w:w="2257" w:type="dxa"/>
          </w:tcPr>
          <w:p>
            <w:pPr>
              <w:pStyle w:val="TableText"/>
              <w:spacing w:before="0" w:after="0" w:line="240" w:lineRule="auto"/>
              <w:ind w:left="0" w:right="0" w:firstLine="0"/>
              <w:jc w:val="left"/>
            </w:pPr>
            <w:r>
              <w:rPr>
                <w:lang w:val="en-US"/>
              </w:rPr>
              <w:t xml:space="preserve">Incident effects may grow before containment, eradication, reporting, and recovery begin. [1]</w:t>
            </w:r>
          </w:p>
        </w:tc>
        <w:tc>
          <w:tcPr>
            <w:tcW w:w="2256" w:type="dxa"/>
          </w:tcPr>
          <w:p>
            <w:pPr>
              <w:pStyle w:val="TableText"/>
              <w:spacing w:before="0" w:after="0" w:line="240" w:lineRule="auto"/>
              <w:ind w:left="0" w:right="0" w:firstLine="0"/>
              <w:jc w:val="left"/>
            </w:pPr>
            <w:r>
              <w:rPr>
                <w:lang w:val="en-US"/>
              </w:rPr>
              <w:t xml:space="preserve">Document and exercise a response plan. Identify a business champion, contacts, roles, authority, reporting duties, escalation paths, containment actions, and communication responsibilities. [1] [2]</w:t>
            </w:r>
          </w:p>
        </w:tc>
        <w:tc>
          <w:tcPr>
            <w:tcW w:w="2256" w:type="dxa"/>
          </w:tcPr>
          <w:p>
            <w:pPr>
              <w:pStyle w:val="TableText"/>
              <w:spacing w:before="0" w:after="0" w:line="240" w:lineRule="auto"/>
              <w:ind w:left="0" w:right="0" w:firstLine="0"/>
              <w:jc w:val="left"/>
            </w:pPr>
            <w:r>
              <w:rPr>
                <w:lang w:val="en-US"/>
              </w:rPr>
              <w:t xml:space="preserve">Coordinate response with relevant internal and external stakeholders.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Backups cannot be used safely.</w:t>
            </w:r>
          </w:p>
        </w:tc>
        <w:tc>
          <w:tcPr>
            <w:tcW w:w="2257" w:type="dxa"/>
          </w:tcPr>
          <w:p>
            <w:pPr>
              <w:pStyle w:val="TableText"/>
              <w:spacing w:before="0" w:after="0" w:line="240" w:lineRule="auto"/>
              <w:ind w:left="0" w:right="0" w:firstLine="0"/>
              <w:jc w:val="left"/>
            </w:pPr>
            <w:r>
              <w:rPr>
                <w:lang w:val="en-US"/>
              </w:rPr>
              <w:t xml:space="preserve">Recovery may fail or introduce further compromise if restoration assets are not sound. [1]</w:t>
            </w:r>
          </w:p>
        </w:tc>
        <w:tc>
          <w:tcPr>
            <w:tcW w:w="2256" w:type="dxa"/>
          </w:tcPr>
          <w:p>
            <w:pPr>
              <w:pStyle w:val="TableText"/>
              <w:spacing w:before="0" w:after="0" w:line="240" w:lineRule="auto"/>
              <w:ind w:left="0" w:right="0" w:firstLine="0"/>
              <w:jc w:val="left"/>
            </w:pPr>
            <w:r>
              <w:rPr>
                <w:lang w:val="en-US"/>
              </w:rPr>
              <w:t xml:space="preserve">Create, protect, maintain, and test backups. Verify backup and restoration asset integrity before use. [1] [2]</w:t>
            </w:r>
          </w:p>
        </w:tc>
        <w:tc>
          <w:tcPr>
            <w:tcW w:w="2256" w:type="dxa"/>
          </w:tcPr>
          <w:p>
            <w:pPr>
              <w:pStyle w:val="TableText"/>
              <w:spacing w:before="0" w:after="0" w:line="240" w:lineRule="auto"/>
              <w:ind w:left="0" w:right="0" w:firstLine="0"/>
              <w:jc w:val="left"/>
            </w:pPr>
            <w:r>
              <w:rPr>
                <w:lang w:val="en-US"/>
              </w:rPr>
              <w:t xml:space="preserve">Set recovery priorities with critical mission functions and affected assets in mind.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Supplier and third-party risks are unmanaged.</w:t>
            </w:r>
          </w:p>
        </w:tc>
        <w:tc>
          <w:tcPr>
            <w:tcW w:w="2257" w:type="dxa"/>
          </w:tcPr>
          <w:p>
            <w:pPr>
              <w:pStyle w:val="TableText"/>
              <w:spacing w:before="0" w:after="0" w:line="240" w:lineRule="auto"/>
              <w:ind w:left="0" w:right="0" w:firstLine="0"/>
              <w:jc w:val="left"/>
            </w:pPr>
            <w:r>
              <w:rPr>
                <w:lang w:val="en-US"/>
              </w:rPr>
              <w:t xml:space="preserve">Risk may enter through products, services, providers, or other supply chain dependencies. [1]</w:t>
            </w:r>
          </w:p>
        </w:tc>
        <w:tc>
          <w:tcPr>
            <w:tcW w:w="2256" w:type="dxa"/>
          </w:tcPr>
          <w:p>
            <w:pPr>
              <w:pStyle w:val="TableText"/>
              <w:spacing w:before="0" w:after="0" w:line="240" w:lineRule="auto"/>
              <w:ind w:left="0" w:right="0" w:firstLine="0"/>
              <w:jc w:val="left"/>
            </w:pPr>
            <w:r>
              <w:rPr>
                <w:lang w:val="en-US"/>
              </w:rPr>
              <w:t xml:space="preserve">Rank suppliers by criticality, conduct due diligence, include cybersecurity requirements in agreements, monitor relevant suppliers, and include them in incident planning, response, and recovery. [1]</w:t>
            </w:r>
          </w:p>
        </w:tc>
        <w:tc>
          <w:tcPr>
            <w:tcW w:w="2256" w:type="dxa"/>
          </w:tcPr>
          <w:p>
            <w:pPr>
              <w:pStyle w:val="TableText"/>
              <w:spacing w:before="0" w:after="0" w:line="240" w:lineRule="auto"/>
              <w:ind w:left="0" w:right="0" w:firstLine="0"/>
              <w:jc w:val="left"/>
            </w:pPr>
            <w:r>
              <w:rPr>
                <w:lang w:val="en-US"/>
              </w:rPr>
              <w:t xml:space="preserve">Integrate supply chain risk management into enterprise risk management. [1]</w:t>
            </w:r>
          </w:p>
        </w:tc>
      </w:tr>
    </w:tbl>
    <w:p>
      <w:pPr>
        <w:pStyle w:val="Heading2"/>
        <w:outlineLvl w:val="1"/>
      </w:pPr>
      <w:r>
        <w:rPr>
          <w:lang w:val="en-US"/>
        </w:rPr>
        <w:t xml:space="preserve">Recommendation and Next Steps</w:t>
      </w:r>
    </w:p>
    <w:p>
      <w:pPr>
        <w:pStyle w:val="Normal"/>
      </w:pPr>
      <w:r>
        <w:rPr>
          <w:lang w:val="en-US"/>
        </w:rPr>
        <w:t xml:space="preserve">Note</w:t>
      </w:r>
    </w:p>
    <w:p>
      <w:pPr>
        <w:pStyle w:val="Normal"/>
      </w:pPr>
      <w:r>
        <w:rPr>
          <w:lang w:val="en-US"/>
        </w:rPr>
        <w:t xml:space="preserve">Approve a Profile led CSF 2.0 adoption program: establish leadership accountability and risk direction, document the Current Profile, define a prioritized Target Profile, and immediately address asset visibility, access control, backup integrity, incident readiness, recovery, and critical supplier oversight. [1] [2]</w:t>
      </w:r>
    </w:p>
    <w:p>
      <w:pPr>
        <w:pStyle w:val="Normal"/>
      </w:pPr>
      <w:r>
        <w:rPr>
          <w:lang w:val="en-US"/>
        </w:rPr>
        <w:t xml:space="preserve">Adopt CSF 2.0 as the organization's common language for cybersecurity risk management. Where the organization's risks, obligations, and resources support it, aim to progress toward Repeatable practices. NIST advises that Tiers should complement an organization's risk management methodology. Higher Tiers may be suitable when risks or mandates are greater, or when cost-benefit analysis supports a feasible and cost-effective reduction in cybersecurity risk. [1]</w:t>
      </w:r>
    </w:p>
    <w:p>
      <w:pPr>
        <w:pStyle w:val="ListParagraph"/>
        <w:numPr>
          <w:ilvl w:val="0"/>
          <w:numId w:val="1"/>
        </w:numPr>
        <w:ind w:left="360" w:hanging="240"/>
      </w:pPr>
      <w:r>
        <w:rPr>
          <w:b/>
          <w:lang w:val="en-US"/>
        </w:rPr>
        <w:t xml:space="preserve">Assign accountability.</w:t>
      </w:r>
      <w:r>
        <w:rPr>
          <w:lang w:val="en-US"/>
        </w:rPr>
        <w:t xml:space="preserve"> Name the leaders and staff responsible for cybersecurity strategy, policy, incident response, recovery, and supplier oversight.</w:t>
      </w:r>
    </w:p>
    <w:p>
      <w:pPr>
        <w:pStyle w:val="ListParagraph"/>
        <w:numPr>
          <w:ilvl w:val="0"/>
          <w:numId w:val="1"/>
        </w:numPr>
        <w:ind w:left="360" w:hanging="240"/>
      </w:pPr>
      <w:r>
        <w:rPr>
          <w:b/>
          <w:lang w:val="en-US"/>
        </w:rPr>
        <w:t xml:space="preserve">Set the scope.</w:t>
      </w:r>
      <w:r>
        <w:rPr>
          <w:lang w:val="en-US"/>
        </w:rPr>
        <w:t xml:space="preserve"> Start the Organizational Profile across the organization or focus first on its most critical services. Gather information about mission, requirements, assets, suppliers, risks, policies, and resources. [1] [2]</w:t>
      </w:r>
    </w:p>
    <w:p>
      <w:pPr>
        <w:pStyle w:val="ListParagraph"/>
        <w:numPr>
          <w:ilvl w:val="0"/>
          <w:numId w:val="1"/>
        </w:numPr>
        <w:ind w:left="360" w:hanging="240"/>
      </w:pPr>
      <w:r>
        <w:rPr>
          <w:b/>
          <w:lang w:val="en-US"/>
        </w:rPr>
        <w:t xml:space="preserve">Build and compare Profiles.</w:t>
      </w:r>
      <w:r>
        <w:rPr>
          <w:lang w:val="en-US"/>
        </w:rPr>
        <w:t xml:space="preserve"> Create Current and Target Profiles, identify gaps, and turn the highest priorities into an action plan. Track the plan through a suitable risk register, risk detail report, or Plan of Action and Milestones. [1]</w:t>
      </w:r>
    </w:p>
    <w:p>
      <w:pPr>
        <w:pStyle w:val="ListParagraph"/>
        <w:numPr>
          <w:ilvl w:val="0"/>
          <w:numId w:val="1"/>
        </w:numPr>
        <w:ind w:left="360" w:hanging="240"/>
      </w:pPr>
      <w:r>
        <w:rPr>
          <w:b/>
          <w:lang w:val="en-US"/>
        </w:rPr>
        <w:t xml:space="preserve">Address foundational needs.</w:t>
      </w:r>
      <w:r>
        <w:rPr>
          <w:lang w:val="en-US"/>
        </w:rPr>
        <w:t xml:space="preserve"> Maintain asset inventories, restrict access, use multi-factor authentication where available, update software, back up and test data, monitor for suspicious activity, and maintain response and recovery plans. [2]</w:t>
      </w:r>
    </w:p>
    <w:p>
      <w:pPr>
        <w:pStyle w:val="ListParagraph"/>
        <w:numPr>
          <w:ilvl w:val="0"/>
          <w:numId w:val="1"/>
        </w:numPr>
        <w:ind w:left="360" w:hanging="240"/>
      </w:pPr>
      <w:r>
        <w:rPr>
          <w:b/>
          <w:lang w:val="en-US"/>
        </w:rPr>
        <w:t xml:space="preserve">Review and improve.</w:t>
      </w:r>
      <w:r>
        <w:rPr>
          <w:lang w:val="en-US"/>
        </w:rPr>
        <w:t xml:space="preserve"> Use management oversight, operational measures, incident lessons, and changes in mission, threats, technology, requirements, and supplier relationships to refresh priorities. This supports the continuous improvement cycle envisioned by CSF 2.0. [1]</w:t>
      </w:r>
    </w:p>
    <w:p>
      <w:pPr>
        <w:pStyle w:val="Heading2"/>
        <w:outlineLvl w:val="1"/>
      </w:pPr>
      <w:r>
        <w:rPr>
          <w:lang w:val="en-US"/>
        </w:rPr>
        <w:t xml:space="preserve">Summary and Conclusion</w:t>
      </w:r>
    </w:p>
    <w:p>
      <w:pPr>
        <w:pStyle w:val="Normal"/>
      </w:pPr>
      <w:r>
        <w:rPr>
          <w:lang w:val="en-US"/>
        </w:rPr>
        <w:t xml:space="preserve">CSF 2.0 is not a one-time compliance exercise. It is an ongoing business and risk management discipline. Clear governance, attention to consequential risks, and integration with daily operations can strengthen resilience while supporting the organization's mission and business goals.</w:t>
      </w:r>
    </w:p>
    <w:p>
      <w:pPr>
        <w:pStyle w:val="Normal"/>
      </w:pPr>
      <w:r>
        <w:rPr>
          <w:lang w:val="en-US"/>
        </w:rPr>
        <w:t xml:space="preserve">Near-term safeguards can reduce exposure, while longer-term planning builds capability across the CSF Functions and Profiles. Track progress through useful operational measures, leadership oversight, testing, lessons from incidents, and regular reviews of changing threats, technologies, suppliers, and regulatory expectations.</w:t>
      </w:r>
    </w:p>
    <w:p>
      <w:pPr>
        <w:pStyle w:val="Normal"/>
      </w:pPr>
      <w:r>
        <w:rPr>
          <w:lang w:val="en-US"/>
        </w:rPr>
        <w:t xml:space="preserve">This continuous improvement approach helps the organization make informed, risk-based decisions, demonstrate accountability, and maintain a practical, adaptable cybersecurity program aligned with its priorities.</w:t>
      </w:r>
    </w:p>
    <w:p>
      <w:pPr>
        <w:pStyle w:val="Heading2"/>
        <w:outlineLvl w:val="1"/>
      </w:pPr>
      <w:r>
        <w:rPr>
          <w:lang w:val="en-US"/>
        </w:rPr>
        <w:t xml:space="preserve">Sources</w:t>
      </w:r>
    </w:p>
    <w:p>
      <w:pPr>
        <w:pStyle w:val="ListParagraph"/>
        <w:numPr>
          <w:ilvl w:val="0"/>
          <w:numId w:val="2"/>
        </w:numPr>
        <w:ind w:left="360" w:hanging="240"/>
      </w:pPr>
      <w:r>
        <w:rPr>
          <w:lang w:val="en-US"/>
        </w:rPr>
        <w:t xml:space="preserve">NIST.CSWP.29.pdf</w:t>
      </w:r>
    </w:p>
    <w:p>
      <w:pPr>
        <w:pStyle w:val="ListParagraph"/>
        <w:numPr>
          <w:ilvl w:val="0"/>
          <w:numId w:val="2"/>
        </w:numPr>
        <w:ind w:left="360" w:hanging="240"/>
      </w:pPr>
      <w:r>
        <w:rPr>
          <w:lang w:val="en-US"/>
        </w:rPr>
        <w:t xml:space="preserve">NIST.SP.1300.pdf</w:t>
      </w:r>
    </w:p>
    <w:sectPr>
      <w:footerReference xmlns:r="http://schemas.openxmlformats.org/officeDocument/2006/relationships" w:type="default" r:id="Rbf9ffee6bde34959"/>
      <w:pgSz w:w="11906" w:h="16838" w:orient="portrait"/>
      <w:pgMar w:top="1440" w:right="1440" w:bottom="1440" w:left="1440" w:header="720" w:footer="720" w:gutter="0"/>
      <w:pgNumType w:fmt="decimal"/>
    </w:sectPr>
  </w:body>
</w:document>
</file>

<file path=word/fontTable.xml><?xml version="1.0" encoding="utf-8"?>
<w:fonts xmlns:w="http://schemas.openxmlformats.org/wordprocessingml/2006/main">
  <w:font w:name="IBM Plex Sans">
    <w:family w:val="swiss"/>
    <w:pitch w:val="variable"/>
  </w:font>
  <w:font w:name="IBM Plex Serif">
    <w:family w:val="roman"/>
    <w:pitch w:val="variable"/>
  </w:font>
  <w:font w:name="IBM Plex Mono">
    <w:family w:val="modern"/>
    <w:pitch w:val="fixed"/>
  </w:font>
</w:fonts>
</file>

<file path=word/footer1.xml><?xml version="1.0" encoding="utf-8"?>
<w:ftr xmlns:w="http://schemas.openxmlformats.org/wordprocessingml/2006/main">
  <w:p>
    <w:pPr>
      <w:pStyle w:val="Footer"/>
      <w:jc w:val="center"/>
    </w:pPr>
    <w:fldSimple w:instr="PAGE">
      <w:r>
        <w:rPr>
          <w:lang w:val="en-US"/>
        </w:rPr>
        <w:t xml:space="preserve">1</w:t>
      </w:r>
    </w:fldSimple>
    <w:r>
      <w:rPr>
        <w:lang w:val="en-US"/>
      </w:rPr>
      <w:t xml:space="preserve"> / </w:t>
    </w:r>
    <w:fldSimple w:instr="NUMPAGES">
      <w:r>
        <w:rPr>
          <w:lang w:val="en-US"/>
        </w:rPr>
        <w:t xml:space="preserve">1</w:t>
      </w:r>
    </w:fldSimple>
  </w:p>
</w:ftr>
</file>

<file path=word/numbering.xml><?xml version="1.0" encoding="utf-8"?>
<w:numbering xmlns:w="http://schemas.openxmlformats.org/wordprocessingml/2006/main">
  <w:abstractNum w:abstractNumId="1">
    <w:multiLevelType w:val="hybridMultilevel"/>
    <w:lvl w:ilvl="0">
      <w:start w:val="1"/>
      <w:numFmt w:val="decimal"/>
      <w:lvlText w:val="%1."/>
      <w:lvlJc w:val="left"/>
      <w:pPr>
        <w:ind w:left="720" w:hanging="360"/>
      </w:pPr>
      <w:rPr>
        <w:b/>
        <w:color w:val="8F5B00"/>
      </w:rPr>
    </w:lvl>
    <w:lvl w:ilvl="1">
      <w:start w:val="1"/>
      <w:numFmt w:val="decimal"/>
      <w:lvlText w:val="%2."/>
      <w:lvlJc w:val="left"/>
      <w:pPr>
        <w:ind w:left="1440" w:hanging="360"/>
      </w:pPr>
      <w:rPr>
        <w:b/>
        <w:color w:val="8F5B00"/>
      </w:rPr>
    </w:lvl>
    <w:lvl w:ilvl="2">
      <w:start w:val="1"/>
      <w:numFmt w:val="decimal"/>
      <w:lvlText w:val="%3."/>
      <w:lvlJc w:val="left"/>
      <w:pPr>
        <w:ind w:left="2160" w:hanging="360"/>
      </w:pPr>
      <w:rPr>
        <w:b/>
        <w:color w:val="8F5B00"/>
      </w:rPr>
    </w:lvl>
    <w:lvl w:ilvl="3">
      <w:start w:val="1"/>
      <w:numFmt w:val="decimal"/>
      <w:lvlText w:val="%4."/>
      <w:lvlJc w:val="left"/>
      <w:pPr>
        <w:ind w:left="2880" w:hanging="360"/>
      </w:pPr>
      <w:rPr>
        <w:b/>
        <w:color w:val="8F5B00"/>
      </w:rPr>
    </w:lvl>
    <w:lvl w:ilvl="4">
      <w:start w:val="1"/>
      <w:numFmt w:val="decimal"/>
      <w:lvlText w:val="%5."/>
      <w:lvlJc w:val="left"/>
      <w:pPr>
        <w:ind w:left="3600" w:hanging="360"/>
      </w:pPr>
      <w:rPr>
        <w:b/>
        <w:color w:val="8F5B00"/>
      </w:rPr>
    </w:lvl>
    <w:lvl w:ilvl="5">
      <w:start w:val="1"/>
      <w:numFmt w:val="decimal"/>
      <w:lvlText w:val="%6."/>
      <w:lvlJc w:val="left"/>
      <w:pPr>
        <w:ind w:left="4320" w:hanging="360"/>
      </w:pPr>
      <w:rPr>
        <w:b/>
        <w:color w:val="8F5B00"/>
      </w:rPr>
    </w:lvl>
    <w:lvl w:ilvl="6">
      <w:start w:val="1"/>
      <w:numFmt w:val="decimal"/>
      <w:lvlText w:val="%7."/>
      <w:lvlJc w:val="left"/>
      <w:pPr>
        <w:ind w:left="5040" w:hanging="360"/>
      </w:pPr>
      <w:rPr>
        <w:b/>
        <w:color w:val="8F5B00"/>
      </w:rPr>
    </w:lvl>
    <w:lvl w:ilvl="7">
      <w:start w:val="1"/>
      <w:numFmt w:val="decimal"/>
      <w:lvlText w:val="%8."/>
      <w:lvlJc w:val="left"/>
      <w:pPr>
        <w:ind w:left="5760" w:hanging="360"/>
      </w:pPr>
      <w:rPr>
        <w:b/>
        <w:color w:val="8F5B00"/>
      </w:rPr>
    </w:lvl>
    <w:lvl w:ilvl="8">
      <w:start w:val="1"/>
      <w:numFmt w:val="decimal"/>
      <w:lvlText w:val="%9."/>
      <w:lvlJc w:val="left"/>
      <w:pPr>
        <w:ind w:left="6480" w:hanging="360"/>
      </w:pPr>
      <w:rPr>
        <w:b/>
        <w:color w:val="8F5B00"/>
      </w:rPr>
    </w:lvl>
  </w:abstractNum>
  <w:abstractNum w:abstractNumId="2">
    <w:multiLevelType w:val="hybridMultilevel"/>
    <w:lvl w:ilvl="0">
      <w:start w:val="1"/>
      <w:numFmt w:val="decimal"/>
      <w:lvlText w:val="%1."/>
      <w:lvlJc w:val="left"/>
      <w:pPr>
        <w:ind w:left="720" w:hanging="360"/>
      </w:pPr>
      <w:rPr>
        <w:b/>
        <w:color w:val="8F5B00"/>
      </w:rPr>
    </w:lvl>
    <w:lvl w:ilvl="1">
      <w:start w:val="1"/>
      <w:numFmt w:val="decimal"/>
      <w:lvlText w:val="%2."/>
      <w:lvlJc w:val="left"/>
      <w:pPr>
        <w:ind w:left="1440" w:hanging="360"/>
      </w:pPr>
      <w:rPr>
        <w:b/>
        <w:color w:val="8F5B00"/>
      </w:rPr>
    </w:lvl>
    <w:lvl w:ilvl="2">
      <w:start w:val="1"/>
      <w:numFmt w:val="decimal"/>
      <w:lvlText w:val="%3."/>
      <w:lvlJc w:val="left"/>
      <w:pPr>
        <w:ind w:left="2160" w:hanging="360"/>
      </w:pPr>
      <w:rPr>
        <w:b/>
        <w:color w:val="8F5B00"/>
      </w:rPr>
    </w:lvl>
    <w:lvl w:ilvl="3">
      <w:start w:val="1"/>
      <w:numFmt w:val="decimal"/>
      <w:lvlText w:val="%4."/>
      <w:lvlJc w:val="left"/>
      <w:pPr>
        <w:ind w:left="2880" w:hanging="360"/>
      </w:pPr>
      <w:rPr>
        <w:b/>
        <w:color w:val="8F5B00"/>
      </w:rPr>
    </w:lvl>
    <w:lvl w:ilvl="4">
      <w:start w:val="1"/>
      <w:numFmt w:val="decimal"/>
      <w:lvlText w:val="%5."/>
      <w:lvlJc w:val="left"/>
      <w:pPr>
        <w:ind w:left="3600" w:hanging="360"/>
      </w:pPr>
      <w:rPr>
        <w:b/>
        <w:color w:val="8F5B00"/>
      </w:rPr>
    </w:lvl>
    <w:lvl w:ilvl="5">
      <w:start w:val="1"/>
      <w:numFmt w:val="decimal"/>
      <w:lvlText w:val="%6."/>
      <w:lvlJc w:val="left"/>
      <w:pPr>
        <w:ind w:left="4320" w:hanging="360"/>
      </w:pPr>
      <w:rPr>
        <w:b/>
        <w:color w:val="8F5B00"/>
      </w:rPr>
    </w:lvl>
    <w:lvl w:ilvl="6">
      <w:start w:val="1"/>
      <w:numFmt w:val="decimal"/>
      <w:lvlText w:val="%7."/>
      <w:lvlJc w:val="left"/>
      <w:pPr>
        <w:ind w:left="5040" w:hanging="360"/>
      </w:pPr>
      <w:rPr>
        <w:b/>
        <w:color w:val="8F5B00"/>
      </w:rPr>
    </w:lvl>
    <w:lvl w:ilvl="7">
      <w:start w:val="1"/>
      <w:numFmt w:val="decimal"/>
      <w:lvlText w:val="%8."/>
      <w:lvlJc w:val="left"/>
      <w:pPr>
        <w:ind w:left="5760" w:hanging="360"/>
      </w:pPr>
      <w:rPr>
        <w:b/>
        <w:color w:val="8F5B00"/>
      </w:rPr>
    </w:lvl>
    <w:lvl w:ilvl="8">
      <w:start w:val="1"/>
      <w:numFmt w:val="decimal"/>
      <w:lvlText w:val="%9."/>
      <w:lvlJc w:val="left"/>
      <w:pPr>
        <w:ind w:left="6480" w:hanging="360"/>
      </w:pPr>
      <w:rPr>
        <w:b/>
        <w:color w:val="8F5B00"/>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http://schemas.openxmlformats.org/wordprocessingml/2006/main">
  <w:docVars>
    <w:docVar w:name="CoverComposition" w:val="fullbleed"/>
  </w:docVars>
</w:settings>
</file>

<file path=word/styles.xml><?xml version="1.0" encoding="utf-8"?>
<w:styles xmlns:w="http://schemas.openxmlformats.org/wordprocessingml/2006/main">
  <w:docDefaults>
    <w:rPrDefault>
      <w:rPr>
        <w:rFonts w:ascii="IBM Plex Sans" w:hAnsi="IBM Plex Sans" w:eastAsia="IBM Plex Sans" w:cs="IBM Plex Sans"/>
        <w:color w:val="1F2433"/>
        <w:sz w:val="20"/>
        <w:szCs w:val="20"/>
        <w:lang w:val="en-US"/>
      </w:rPr>
    </w:rPrDefault>
    <w:pPrDefault>
      <w:pPr>
        <w:widowControl/>
        <w:spacing w:after="0" w:line="240" w:lineRule="auto"/>
      </w:pPr>
    </w:pPrDefault>
  </w:docDefaults>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Normal" w:default="true">
    <w:name w:val="Normal"/>
    <w:qFormat/>
    <w:pPr>
      <w:spacing w:before="0" w:after="144" w:line="316" w:lineRule="atLeast"/>
      <w:ind w:left="0" w:right="0" w:firstLine="0"/>
      <w:jc w:val="left"/>
    </w:pPr>
    <w:rPr>
      <w:rFonts w:ascii="IBM Plex Sans" w:hAnsi="IBM Plex Sans"/>
      <w:b w:val="false"/>
      <w:bCs w:val="false"/>
      <w:i w:val="false"/>
      <w:iCs w:val="false"/>
      <w:caps w:val="false"/>
      <w:color w:val="1F2433"/>
      <w:sz w:val="20"/>
      <w:szCs w:val="20"/>
    </w:rPr>
  </w:style>
  <w:style w:type="paragraph" w:styleId="ListParagraph">
    <w:name w:val="List Paragraph"/>
    <w:basedOn w:val="Normal"/>
    <w:qFormat/>
    <w:pPr>
      <w:spacing w:before="0" w:after="60" w:line="316" w:lineRule="atLeast"/>
      <w:ind w:left="0" w:right="0" w:firstLine="0"/>
      <w:jc w:val="left"/>
    </w:pPr>
    <w:rPr>
      <w:rFonts w:ascii="IBM Plex Sans" w:hAnsi="IBM Plex Sans"/>
      <w:b w:val="false"/>
      <w:bCs w:val="false"/>
      <w:i w:val="false"/>
      <w:iCs w:val="false"/>
      <w:caps w:val="false"/>
      <w:color w:val="1F2433"/>
      <w:sz w:val="20"/>
      <w:szCs w:val="20"/>
    </w:rPr>
  </w:style>
  <w:style w:type="paragraph" w:styleId="Heading1">
    <w:name w:val="Heading 1"/>
    <w:basedOn w:val="Normal"/>
    <w:next w:val="Normal"/>
    <w:qFormat/>
    <w:pPr>
      <w:keepNext/>
      <w:keepLines/>
      <w:pageBreakBefore w:val="true"/>
      <w:suppressAutoHyphens/>
      <w:spacing w:before="0" w:after="234" w:line="477" w:lineRule="atLeast"/>
      <w:ind w:left="0" w:right="0" w:firstLine="0"/>
      <w:jc w:val="left"/>
      <w:outlineLvl w:val="0"/>
    </w:pPr>
    <w:rPr>
      <w:rFonts w:ascii="IBM Plex Serif" w:hAnsi="IBM Plex Serif"/>
      <w:b w:val="true"/>
      <w:bCs w:val="true"/>
      <w:i w:val="false"/>
      <w:iCs w:val="false"/>
      <w:caps w:val="false"/>
      <w:color w:val="1A237E"/>
      <w:spacing w:val="-2"/>
      <w:sz w:val="39"/>
      <w:szCs w:val="39"/>
    </w:rPr>
  </w:style>
  <w:style w:type="paragraph" w:styleId="Heading2">
    <w:name w:val="Heading 2"/>
    <w:basedOn w:val="Normal"/>
    <w:next w:val="Normal"/>
    <w:qFormat/>
    <w:pPr>
      <w:keepNext/>
      <w:keepLines/>
      <w:pageBreakBefore w:val="false"/>
      <w:pBdr>
        <w:bottom w:val="single" w:color="F5A524" w:sz="8" w:space="5"/>
      </w:pBdr>
      <w:suppressAutoHyphens/>
      <w:spacing w:before="450" w:after="172" w:line="381" w:lineRule="atLeast"/>
      <w:ind w:left="0" w:right="0" w:firstLine="0"/>
      <w:jc w:val="left"/>
      <w:outlineLvl w:val="1"/>
    </w:pPr>
    <w:rPr>
      <w:rFonts w:ascii="IBM Plex Serif" w:hAnsi="IBM Plex Serif"/>
      <w:b w:val="true"/>
      <w:bCs w:val="true"/>
      <w:i w:val="false"/>
      <w:iCs w:val="false"/>
      <w:caps w:val="false"/>
      <w:color w:val="1A237E"/>
      <w:spacing w:val="-2"/>
      <w:sz w:val="31"/>
      <w:szCs w:val="31"/>
    </w:rPr>
  </w:style>
  <w:style w:type="paragraph" w:styleId="Heading3">
    <w:name w:val="Heading 3"/>
    <w:basedOn w:val="Normal"/>
    <w:next w:val="Normal"/>
    <w:qFormat/>
    <w:pPr>
      <w:keepNext/>
      <w:keepLines/>
      <w:pageBreakBefore w:val="false"/>
      <w:suppressAutoHyphens/>
      <w:spacing w:before="198" w:after="113" w:line="273" w:lineRule="atLeast"/>
      <w:ind w:left="0" w:right="0" w:firstLine="0"/>
      <w:jc w:val="left"/>
      <w:outlineLvl w:val="2"/>
    </w:pPr>
    <w:rPr>
      <w:rFonts w:ascii="IBM Plex Sans" w:hAnsi="IBM Plex Sans"/>
      <w:b w:val="true"/>
      <w:bCs w:val="true"/>
      <w:i w:val="false"/>
      <w:iCs w:val="false"/>
      <w:caps w:val="true"/>
      <w:color w:val="1A237E"/>
      <w:spacing w:val="16"/>
      <w:sz w:val="22"/>
      <w:szCs w:val="22"/>
    </w:rPr>
  </w:style>
  <w:style w:type="paragraph" w:styleId="Heading4">
    <w:name w:val="Heading 4"/>
    <w:basedOn w:val="Normal"/>
    <w:next w:val="Normal"/>
    <w:qFormat/>
    <w:pPr>
      <w:keepNext/>
      <w:keepLines/>
      <w:pageBreakBefore w:val="false"/>
      <w:suppressAutoHyphens/>
      <w:spacing w:before="111" w:after="78" w:line="273" w:lineRule="atLeast"/>
      <w:ind w:left="0" w:right="0" w:firstLine="0"/>
      <w:jc w:val="left"/>
      <w:outlineLvl w:val="3"/>
    </w:pPr>
    <w:rPr>
      <w:rFonts w:ascii="IBM Plex Serif" w:hAnsi="IBM Plex Serif"/>
      <w:b w:val="true"/>
      <w:bCs w:val="true"/>
      <w:i w:val="false"/>
      <w:iCs w:val="false"/>
      <w:caps w:val="false"/>
      <w:color w:val="1A237E"/>
      <w:spacing w:val="-1"/>
      <w:sz w:val="22"/>
      <w:szCs w:val="22"/>
    </w:rPr>
  </w:style>
  <w:style w:type="paragraph" w:styleId="Heading5">
    <w:name w:val="Heading 5"/>
    <w:basedOn w:val="Normal"/>
    <w:next w:val="Normal"/>
    <w:qFormat/>
    <w:pPr>
      <w:keepNext/>
      <w:keepLines/>
      <w:pageBreakBefore w:val="false"/>
      <w:suppressAutoHyphens/>
      <w:spacing w:before="70" w:after="62" w:line="217" w:lineRule="atLeast"/>
      <w:ind w:left="0" w:right="0" w:firstLine="0"/>
      <w:jc w:val="left"/>
      <w:outlineLvl w:val="4"/>
    </w:pPr>
    <w:rPr>
      <w:rFonts w:ascii="IBM Plex Sans" w:hAnsi="IBM Plex Sans"/>
      <w:b w:val="true"/>
      <w:bCs w:val="true"/>
      <w:i w:val="false"/>
      <w:iCs w:val="false"/>
      <w:caps w:val="true"/>
      <w:color w:val="1A237E"/>
      <w:spacing w:val="16"/>
      <w:sz w:val="18"/>
      <w:szCs w:val="18"/>
    </w:rPr>
  </w:style>
  <w:style w:type="paragraph" w:styleId="Heading6">
    <w:name w:val="Heading 6"/>
    <w:basedOn w:val="Normal"/>
    <w:next w:val="Normal"/>
    <w:qFormat/>
    <w:pPr>
      <w:keepNext/>
      <w:keepLines/>
      <w:pageBreakBefore w:val="false"/>
      <w:suppressAutoHyphens/>
      <w:spacing w:before="70" w:after="62" w:line="217" w:lineRule="atLeast"/>
      <w:ind w:left="0" w:right="0" w:firstLine="0"/>
      <w:jc w:val="left"/>
      <w:outlineLvl w:val="5"/>
    </w:pPr>
    <w:rPr>
      <w:rFonts w:ascii="IBM Plex Sans" w:hAnsi="IBM Plex Sans"/>
      <w:b w:val="true"/>
      <w:bCs w:val="true"/>
      <w:i w:val="false"/>
      <w:iCs w:val="false"/>
      <w:caps w:val="true"/>
      <w:color w:val="1A237E"/>
      <w:spacing w:val="16"/>
      <w:sz w:val="18"/>
      <w:szCs w:val="18"/>
    </w:rPr>
  </w:style>
  <w:style w:type="paragraph" w:styleId="DocumentTitle" w:customStyle="true">
    <w:name w:val="Document Title"/>
    <w:basedOn w:val="Normal"/>
    <w:next w:val="Normal"/>
    <w:qFormat/>
    <w:pPr>
      <w:keepNext/>
      <w:keepLines/>
      <w:pBdr>
        <w:bottom w:val="single" w:color="F5A524" w:sz="8" w:space="7"/>
      </w:pBdr>
      <w:suppressAutoHyphens/>
      <w:spacing w:before="0" w:after="742" w:line="527" w:lineRule="atLeast"/>
      <w:ind w:left="0" w:right="0" w:firstLine="0"/>
      <w:jc w:val="left"/>
      <w:outlineLvl w:val="0"/>
    </w:pPr>
    <w:rPr>
      <w:rFonts w:ascii="IBM Plex Serif" w:hAnsi="IBM Plex Serif"/>
      <w:b w:val="false"/>
      <w:bCs w:val="false"/>
      <w:i w:val="false"/>
      <w:iCs w:val="false"/>
      <w:caps w:val="false"/>
      <w:color w:val="1A237E"/>
      <w:spacing w:val="-7"/>
      <w:sz w:val="49"/>
      <w:szCs w:val="49"/>
    </w:rPr>
  </w:style>
  <w:style w:type="paragraph" w:styleId="TOCHeading">
    <w:name w:val="TOC Heading"/>
    <w:basedOn w:val="Normal"/>
    <w:qFormat/>
    <w:pPr>
      <w:keepNext/>
      <w:keepLines/>
      <w:pBdr>
        <w:bottom w:val="single" w:color="D6D9E8" w:sz="6" w:space="5"/>
      </w:pBdr>
      <w:suppressAutoHyphens/>
      <w:spacing w:before="0" w:after="344" w:line="381" w:lineRule="atLeast"/>
      <w:ind w:left="0" w:right="0" w:firstLine="0"/>
      <w:jc w:val="left"/>
    </w:pPr>
    <w:rPr>
      <w:rFonts w:ascii="IBM Plex Serif" w:hAnsi="IBM Plex Serif"/>
      <w:b w:val="true"/>
      <w:bCs w:val="true"/>
      <w:i w:val="false"/>
      <w:iCs w:val="false"/>
      <w:caps w:val="false"/>
      <w:color w:val="1A237E"/>
      <w:spacing w:val="-2"/>
      <w:sz w:val="31"/>
      <w:szCs w:val="31"/>
    </w:rPr>
  </w:style>
  <w:style w:type="paragraph" w:styleId="TOC1">
    <w:name w:val="TOC 1"/>
    <w:basedOn w:val="Normal"/>
    <w:qFormat/>
    <w:pPr>
      <w:keepLines/>
      <w:pBdr>
        <w:bottom w:val="single" w:color="D6D9E8" w:sz="6" w:space="5"/>
        <w:between w:val="single" w:color="D6D9E8" w:sz="6" w:space="5"/>
      </w:pBdr>
      <w:suppressAutoHyphens/>
      <w:spacing w:before="100" w:after="0" w:line="270" w:lineRule="atLeast"/>
      <w:ind w:left="0" w:right="0" w:firstLine="0"/>
      <w:jc w:val="left"/>
    </w:pPr>
    <w:rPr>
      <w:rFonts w:ascii="IBM Plex Serif" w:hAnsi="IBM Plex Serif"/>
      <w:b w:val="true"/>
      <w:bCs w:val="true"/>
      <w:i w:val="false"/>
      <w:iCs w:val="false"/>
      <w:caps w:val="false"/>
      <w:color w:val="1A237E"/>
      <w:sz w:val="20"/>
      <w:szCs w:val="20"/>
    </w:rPr>
  </w:style>
  <w:style w:type="paragraph" w:styleId="TOC2">
    <w:name w:val="TOC 2"/>
    <w:basedOn w:val="Normal"/>
    <w:qFormat/>
    <w:pPr>
      <w:keepLines/>
      <w:pBdr>
        <w:bottom w:val="single" w:color="D6D9E8" w:sz="6" w:space="5"/>
        <w:between w:val="single" w:color="D6D9E8" w:sz="6" w:space="5"/>
      </w:pBdr>
      <w:suppressAutoHyphens/>
      <w:spacing w:before="100" w:after="0" w:line="270" w:lineRule="atLeast"/>
      <w:ind w:left="240" w:right="0" w:firstLine="0"/>
      <w:jc w:val="left"/>
    </w:pPr>
    <w:rPr>
      <w:rFonts w:ascii="IBM Plex Sans" w:hAnsi="IBM Plex Sans"/>
      <w:b w:val="false"/>
      <w:bCs w:val="false"/>
      <w:i w:val="false"/>
      <w:iCs w:val="false"/>
      <w:caps w:val="false"/>
      <w:color w:val="1F2433"/>
      <w:sz w:val="20"/>
      <w:szCs w:val="20"/>
    </w:rPr>
  </w:style>
  <w:style w:type="paragraph" w:styleId="TOC3">
    <w:name w:val="TOC 3"/>
    <w:basedOn w:val="Normal"/>
    <w:qFormat/>
    <w:pPr>
      <w:keepLines/>
      <w:pBdr>
        <w:bottom w:val="single" w:color="D6D9E8" w:sz="6" w:space="5"/>
        <w:between w:val="single" w:color="D6D9E8" w:sz="6" w:space="5"/>
      </w:pBdr>
      <w:suppressAutoHyphens/>
      <w:spacing w:before="100" w:after="0" w:line="240" w:lineRule="atLeast"/>
      <w:ind w:left="480" w:right="0" w:firstLine="0"/>
      <w:jc w:val="left"/>
    </w:pPr>
    <w:rPr>
      <w:rFonts w:ascii="IBM Plex Sans" w:hAnsi="IBM Plex Sans"/>
      <w:b w:val="false"/>
      <w:bCs w:val="false"/>
      <w:i w:val="false"/>
      <w:iCs w:val="false"/>
      <w:caps w:val="false"/>
      <w:color w:val="5B6275"/>
      <w:sz w:val="18"/>
      <w:szCs w:val="18"/>
    </w:rPr>
  </w:style>
  <w:style w:type="paragraph" w:styleId="Caption">
    <w:name w:val="Caption"/>
    <w:basedOn w:val="Normal"/>
    <w:qFormat/>
    <w:pPr>
      <w:suppressAutoHyphens/>
      <w:spacing w:before="98" w:after="144" w:line="249" w:lineRule="atLeast"/>
      <w:ind w:left="0" w:right="0" w:firstLine="0"/>
      <w:jc w:val="center"/>
    </w:pPr>
    <w:rPr>
      <w:rFonts w:ascii="IBM Plex Sans" w:hAnsi="IBM Plex Sans"/>
      <w:b w:val="false"/>
      <w:bCs w:val="false"/>
      <w:i w:val="false"/>
      <w:iCs w:val="false"/>
      <w:caps w:val="false"/>
      <w:color w:val="5B6275"/>
      <w:sz w:val="18"/>
      <w:szCs w:val="18"/>
    </w:rPr>
  </w:style>
  <w:style w:type="paragraph" w:styleId="Attribution" w:customStyle="true">
    <w:name w:val="Attribution"/>
    <w:basedOn w:val="Normal"/>
    <w:qFormat/>
    <w:pPr>
      <w:spacing w:before="0" w:after="144" w:line="231" w:lineRule="atLeast"/>
      <w:ind w:left="0" w:right="0" w:firstLine="0"/>
      <w:jc w:val="center"/>
    </w:pPr>
    <w:rPr>
      <w:rFonts w:ascii="IBM Plex Sans" w:hAnsi="IBM Plex Sans"/>
      <w:b w:val="false"/>
      <w:bCs w:val="false"/>
      <w:i w:val="true"/>
      <w:iCs w:val="true"/>
      <w:caps w:val="false"/>
      <w:color w:val="5B6275"/>
      <w:sz w:val="18"/>
      <w:szCs w:val="18"/>
    </w:rPr>
  </w:style>
  <w:style w:type="paragraph" w:styleId="Quote">
    <w:name w:val="Quote"/>
    <w:basedOn w:val="Normal"/>
    <w:qFormat/>
    <w:pPr>
      <w:spacing w:before="230" w:after="144" w:line="316" w:lineRule="atLeast"/>
      <w:ind w:left="420" w:right="280" w:firstLine="0"/>
      <w:jc w:val="left"/>
    </w:pPr>
    <w:rPr>
      <w:rFonts w:ascii="IBM Plex Sans" w:hAnsi="IBM Plex Sans"/>
      <w:b w:val="false"/>
      <w:bCs w:val="false"/>
      <w:i w:val="true"/>
      <w:iCs w:val="true"/>
      <w:caps w:val="false"/>
      <w:color w:val="2F3547"/>
      <w:sz w:val="20"/>
      <w:szCs w:val="20"/>
    </w:rPr>
  </w:style>
  <w:style w:type="paragraph" w:styleId="QuoteSource" w:customStyle="true">
    <w:name w:val="Quote Source"/>
    <w:basedOn w:val="Normal"/>
    <w:qFormat/>
    <w:pPr>
      <w:spacing w:before="230" w:after="144" w:line="316" w:lineRule="atLeast"/>
      <w:ind w:left="420" w:right="280" w:firstLine="0"/>
      <w:jc w:val="left"/>
    </w:pPr>
    <w:rPr>
      <w:rFonts w:ascii="IBM Plex Sans" w:hAnsi="IBM Plex Sans"/>
      <w:b w:val="false"/>
      <w:bCs w:val="false"/>
      <w:i w:val="false"/>
      <w:iCs w:val="false"/>
      <w:caps w:val="false"/>
      <w:color w:val="2F3547"/>
      <w:sz w:val="18"/>
      <w:szCs w:val="18"/>
    </w:rPr>
  </w:style>
  <w:style w:type="paragraph" w:styleId="PullQuote" w:customStyle="true">
    <w:name w:val="Pull Quote"/>
    <w:basedOn w:val="Normal"/>
    <w:qFormat/>
    <w:pPr>
      <w:keepLines/>
      <w:pBdr>
        <w:top w:val="single" w:color="F5A524" w:sz="11" w:space="8"/>
        <w:bottom w:val="single" w:color="D6D9E8" w:sz="6" w:space="8"/>
      </w:pBdr>
      <w:spacing w:before="322" w:after="322" w:line="325" w:lineRule="atLeast"/>
      <w:ind w:left="0" w:right="0" w:firstLine="0"/>
      <w:jc w:val="left"/>
    </w:pPr>
    <w:rPr>
      <w:rFonts w:ascii="IBM Plex Serif" w:hAnsi="IBM Plex Serif"/>
      <w:b w:val="false"/>
      <w:bCs w:val="false"/>
      <w:i w:val="false"/>
      <w:iCs w:val="false"/>
      <w:caps w:val="false"/>
      <w:color w:val="1A237E"/>
      <w:sz w:val="25"/>
      <w:szCs w:val="25"/>
    </w:rPr>
  </w:style>
  <w:style w:type="paragraph" w:styleId="Callout" w:customStyle="true">
    <w:name w:val="Callout"/>
    <w:basedOn w:val="Normal"/>
    <w:qFormat/>
    <w:pPr>
      <w:pBdr>
        <w:top w:val="single" w:color="F4F5FA" w:sz="2" w:space="8"/>
        <w:left w:val="single" w:color="F5A524" w:sz="28" w:space="10"/>
        <w:bottom w:val="single" w:color="F4F5FA" w:sz="2" w:space="8"/>
        <w:right w:val="single" w:color="F4F5FA" w:sz="2" w:space="10"/>
      </w:pBdr>
      <w:shd w:val="clear" w:color="auto" w:fill="F4F5FA"/>
      <w:spacing w:before="230" w:after="144" w:line="316" w:lineRule="atLeast"/>
      <w:ind w:left="280" w:right="215" w:firstLine="0"/>
      <w:jc w:val="left"/>
    </w:pPr>
    <w:rPr>
      <w:rFonts w:ascii="IBM Plex Sans" w:hAnsi="IBM Plex Sans"/>
      <w:b w:val="false"/>
      <w:bCs w:val="false"/>
      <w:i w:val="false"/>
      <w:iCs w:val="false"/>
      <w:caps w:val="false"/>
      <w:color w:val="1F2433"/>
      <w:sz w:val="20"/>
      <w:szCs w:val="20"/>
    </w:rPr>
  </w:style>
  <w:style w:type="paragraph" w:styleId="CalloutTip" w:customStyle="true">
    <w:name w:val="Callout Tip"/>
    <w:basedOn w:val="Normal"/>
    <w:qFormat/>
    <w:pPr>
      <w:pBdr>
        <w:top w:val="single" w:color="F4F5FA" w:sz="2" w:space="8"/>
        <w:left w:val="single" w:color="146C43" w:sz="28" w:space="10"/>
        <w:bottom w:val="single" w:color="F4F5FA" w:sz="2" w:space="8"/>
        <w:right w:val="single" w:color="F4F5FA" w:sz="2" w:space="10"/>
      </w:pBdr>
      <w:shd w:val="clear" w:color="auto" w:fill="F4F5FA"/>
      <w:spacing w:before="230" w:after="144" w:line="316" w:lineRule="atLeast"/>
      <w:ind w:left="280" w:right="215" w:firstLine="0"/>
      <w:jc w:val="left"/>
    </w:pPr>
    <w:rPr>
      <w:rFonts w:ascii="IBM Plex Sans" w:hAnsi="IBM Plex Sans"/>
      <w:b w:val="false"/>
      <w:bCs w:val="false"/>
      <w:i w:val="false"/>
      <w:iCs w:val="false"/>
      <w:caps w:val="false"/>
      <w:color w:val="1F2433"/>
      <w:sz w:val="20"/>
      <w:szCs w:val="20"/>
    </w:rPr>
  </w:style>
  <w:style w:type="paragraph" w:styleId="CalloutWarning" w:customStyle="true">
    <w:name w:val="Callout Warning"/>
    <w:basedOn w:val="Normal"/>
    <w:qFormat/>
    <w:pPr>
      <w:pBdr>
        <w:top w:val="single" w:color="F4F5FA" w:sz="2" w:space="8"/>
        <w:left w:val="single" w:color="8A5300" w:sz="28" w:space="10"/>
        <w:bottom w:val="single" w:color="F4F5FA" w:sz="2" w:space="8"/>
        <w:right w:val="single" w:color="F4F5FA" w:sz="2" w:space="10"/>
      </w:pBdr>
      <w:shd w:val="clear" w:color="auto" w:fill="F4F5FA"/>
      <w:spacing w:before="230" w:after="144" w:line="316" w:lineRule="atLeast"/>
      <w:ind w:left="280" w:right="215" w:firstLine="0"/>
      <w:jc w:val="left"/>
    </w:pPr>
    <w:rPr>
      <w:rFonts w:ascii="IBM Plex Sans" w:hAnsi="IBM Plex Sans"/>
      <w:b w:val="false"/>
      <w:bCs w:val="false"/>
      <w:i w:val="false"/>
      <w:iCs w:val="false"/>
      <w:caps w:val="false"/>
      <w:color w:val="1F2433"/>
      <w:sz w:val="20"/>
      <w:szCs w:val="20"/>
    </w:rPr>
  </w:style>
  <w:style w:type="paragraph" w:styleId="CalloutNote" w:customStyle="true">
    <w:name w:val="Callout Note"/>
    <w:basedOn w:val="Normal"/>
    <w:qFormat/>
    <w:pPr>
      <w:pBdr>
        <w:top w:val="single" w:color="F4F5FA" w:sz="2" w:space="8"/>
        <w:left w:val="single" w:color="1A237E" w:sz="28" w:space="10"/>
        <w:bottom w:val="single" w:color="F4F5FA" w:sz="2" w:space="8"/>
        <w:right w:val="single" w:color="F4F5FA" w:sz="2" w:space="10"/>
      </w:pBdr>
      <w:shd w:val="clear" w:color="auto" w:fill="F4F5FA"/>
      <w:spacing w:before="230" w:after="144" w:line="316" w:lineRule="atLeast"/>
      <w:ind w:left="280" w:right="215" w:firstLine="0"/>
      <w:jc w:val="left"/>
    </w:pPr>
    <w:rPr>
      <w:rFonts w:ascii="IBM Plex Sans" w:hAnsi="IBM Plex Sans"/>
      <w:b w:val="false"/>
      <w:bCs w:val="false"/>
      <w:i w:val="false"/>
      <w:iCs w:val="false"/>
      <w:caps w:val="false"/>
      <w:color w:val="1F2433"/>
      <w:sz w:val="20"/>
      <w:szCs w:val="20"/>
    </w:rPr>
  </w:style>
  <w:style w:type="paragraph" w:styleId="Panel" w:customStyle="true">
    <w:name w:val="Panel"/>
    <w:basedOn w:val="Normal"/>
    <w:qFormat/>
    <w:pPr>
      <w:pBdr>
        <w:top w:val="single" w:color="F4F5FA" w:sz="2" w:space="8"/>
        <w:left w:val="single" w:color="1A237E" w:sz="28" w:space="10"/>
        <w:bottom w:val="single" w:color="F4F5FA" w:sz="2" w:space="8"/>
        <w:right w:val="single" w:color="F4F5FA" w:sz="2" w:space="10"/>
      </w:pBdr>
      <w:shd w:val="clear" w:color="auto" w:fill="F4F5FA"/>
      <w:spacing w:before="230" w:after="144" w:line="316" w:lineRule="atLeast"/>
      <w:ind w:left="280" w:right="215" w:firstLine="0"/>
      <w:jc w:val="left"/>
    </w:pPr>
    <w:rPr>
      <w:rFonts w:ascii="IBM Plex Sans" w:hAnsi="IBM Plex Sans"/>
      <w:b w:val="false"/>
      <w:bCs w:val="false"/>
      <w:i w:val="false"/>
      <w:iCs w:val="false"/>
      <w:caps w:val="false"/>
      <w:color w:val="1F2433"/>
      <w:sz w:val="20"/>
      <w:szCs w:val="20"/>
    </w:rPr>
  </w:style>
  <w:style w:type="paragraph" w:styleId="PanelTop" w:customStyle="true">
    <w:name w:val="Panel Top"/>
    <w:basedOn w:val="Normal"/>
    <w:qFormat/>
    <w:pPr>
      <w:pBdr>
        <w:top w:val="single" w:color="1A237E" w:sz="28" w:space="8"/>
        <w:left w:val="single" w:color="F4F5FA" w:sz="2" w:space="10"/>
        <w:bottom w:val="single" w:color="F4F5FA" w:sz="2" w:space="8"/>
        <w:right w:val="single" w:color="F4F5FA" w:sz="2" w:space="10"/>
      </w:pBdr>
      <w:shd w:val="clear" w:color="auto" w:fill="F4F5FA"/>
      <w:spacing w:before="230" w:after="144" w:line="316" w:lineRule="atLeast"/>
      <w:ind w:left="215" w:right="215" w:firstLine="0"/>
      <w:jc w:val="left"/>
    </w:pPr>
    <w:rPr>
      <w:rFonts w:ascii="IBM Plex Sans" w:hAnsi="IBM Plex Sans"/>
      <w:b w:val="false"/>
      <w:bCs w:val="false"/>
      <w:i w:val="false"/>
      <w:iCs w:val="false"/>
      <w:caps w:val="false"/>
      <w:color w:val="1F2433"/>
      <w:sz w:val="20"/>
      <w:szCs w:val="20"/>
    </w:rPr>
  </w:style>
  <w:style w:type="paragraph" w:styleId="Code" w:customStyle="true">
    <w:name w:val="Code"/>
    <w:basedOn w:val="Normal"/>
    <w:qFormat/>
    <w:pPr>
      <w:pBdr>
        <w:top w:val="single" w:color="D6D9E8" w:sz="6" w:space="8"/>
        <w:left w:val="single" w:color="D6D9E8" w:sz="6" w:space="9"/>
        <w:bottom w:val="single" w:color="D6D9E8" w:sz="6" w:space="8"/>
        <w:right w:val="single" w:color="D6D9E8" w:sz="6" w:space="9"/>
      </w:pBdr>
      <w:shd w:val="clear" w:color="auto" w:fill="F4F5FA"/>
      <w:suppressAutoHyphens/>
      <w:spacing w:before="205" w:after="205" w:line="267" w:lineRule="atLeast"/>
      <w:ind w:left="193" w:right="193" w:firstLine="0"/>
      <w:contextualSpacing/>
      <w:jc w:val="left"/>
    </w:pPr>
    <w:rPr>
      <w:rFonts w:ascii="IBM Plex Mono" w:hAnsi="IBM Plex Mono"/>
      <w:b w:val="false"/>
      <w:bCs w:val="false"/>
      <w:i w:val="false"/>
      <w:iCs w:val="false"/>
      <w:caps w:val="false"/>
      <w:color w:val="1F2433"/>
      <w:sz w:val="18"/>
      <w:szCs w:val="18"/>
    </w:rPr>
  </w:style>
  <w:style w:type="paragraph" w:styleId="TableText" w:customStyle="true">
    <w:name w:val="Table Text"/>
    <w:basedOn w:val="Normal"/>
    <w:qFormat/>
    <w:pPr>
      <w:spacing w:before="0" w:after="0" w:line="253" w:lineRule="atLeast"/>
      <w:ind w:left="0" w:right="0" w:firstLine="0"/>
      <w:jc w:val="left"/>
    </w:pPr>
    <w:rPr>
      <w:rFonts w:ascii="IBM Plex Sans" w:hAnsi="IBM Plex Sans"/>
      <w:b w:val="false"/>
      <w:bCs w:val="false"/>
      <w:i w:val="false"/>
      <w:iCs w:val="false"/>
      <w:caps w:val="false"/>
      <w:color w:val="1F2433"/>
      <w:sz w:val="18"/>
      <w:szCs w:val="18"/>
    </w:rPr>
  </w:style>
  <w:style w:type="paragraph" w:styleId="TableHeading" w:customStyle="true">
    <w:name w:val="Table Heading"/>
    <w:basedOn w:val="Normal"/>
    <w:qFormat/>
    <w:pPr>
      <w:suppressAutoHyphens/>
      <w:spacing w:before="0" w:after="0" w:line="253" w:lineRule="atLeast"/>
      <w:ind w:left="0" w:right="0" w:firstLine="0"/>
      <w:jc w:val="left"/>
    </w:pPr>
    <w:rPr>
      <w:rFonts w:ascii="IBM Plex Sans" w:hAnsi="IBM Plex Sans"/>
      <w:b w:val="true"/>
      <w:bCs w:val="true"/>
      <w:i w:val="false"/>
      <w:iCs w:val="false"/>
      <w:caps w:val="false"/>
      <w:color w:val="1A237E"/>
      <w:sz w:val="18"/>
      <w:szCs w:val="18"/>
    </w:rPr>
  </w:style>
  <w:style w:type="paragraph" w:styleId="TableRowHeading" w:customStyle="true">
    <w:name w:val="Table Row Heading"/>
    <w:basedOn w:val="Normal"/>
    <w:qFormat/>
    <w:pPr>
      <w:suppressAutoHyphens/>
      <w:spacing w:before="0" w:after="0" w:line="253" w:lineRule="atLeast"/>
      <w:ind w:left="0" w:right="0" w:firstLine="0"/>
      <w:jc w:val="left"/>
    </w:pPr>
    <w:rPr>
      <w:rFonts w:ascii="IBM Plex Sans" w:hAnsi="IBM Plex Sans"/>
      <w:b w:val="true"/>
      <w:bCs w:val="true"/>
      <w:i w:val="false"/>
      <w:iCs w:val="false"/>
      <w:caps w:val="false"/>
      <w:color w:val="1A237E"/>
      <w:sz w:val="18"/>
      <w:szCs w:val="18"/>
    </w:rPr>
  </w:style>
  <w:style w:type="paragraph" w:styleId="Divider" w:customStyle="true">
    <w:name w:val="Divider"/>
    <w:basedOn w:val="Normal"/>
    <w:qFormat/>
    <w:pPr>
      <w:pBdr>
        <w:bottom w:val="single" w:color="D6D9E8" w:sz="6" w:space="0"/>
      </w:pBdr>
      <w:spacing w:before="236" w:after="380" w:line="20" w:lineRule="exact"/>
      <w:ind w:left="0" w:right="0" w:firstLine="0"/>
      <w:jc w:val="left"/>
    </w:pPr>
    <w:rPr>
      <w:rFonts w:ascii="IBM Plex Sans" w:hAnsi="IBM Plex Sans"/>
      <w:b w:val="false"/>
      <w:bCs w:val="false"/>
      <w:i w:val="false"/>
      <w:iCs w:val="false"/>
      <w:caps w:val="false"/>
      <w:color w:val="1F2433"/>
      <w:sz w:val="2"/>
      <w:szCs w:val="2"/>
    </w:rPr>
  </w:style>
  <w:style w:type="paragraph" w:styleId="SceneBreak" w:customStyle="true">
    <w:name w:val="Scene Break"/>
    <w:basedOn w:val="Normal"/>
    <w:qFormat/>
    <w:pPr>
      <w:keepNext/>
      <w:spacing w:before="280" w:after="280" w:line="240" w:lineRule="auto"/>
      <w:ind w:left="0" w:right="0" w:firstLine="0"/>
      <w:jc w:val="center"/>
    </w:pPr>
    <w:rPr>
      <w:rFonts w:ascii="IBM Plex Sans" w:hAnsi="IBM Plex Sans"/>
      <w:b w:val="false"/>
      <w:bCs w:val="false"/>
      <w:i w:val="false"/>
      <w:iCs w:val="false"/>
      <w:caps w:val="false"/>
      <w:color w:val="F5A524"/>
      <w:sz w:val="23"/>
      <w:szCs w:val="23"/>
    </w:rPr>
  </w:style>
  <w:style w:type="paragraph" w:styleId="HeadingBar" w:customStyle="true">
    <w:name w:val="Heading Bar"/>
    <w:basedOn w:val="Normal"/>
    <w:qFormat/>
    <w:pPr>
      <w:keepNext/>
      <w:spacing w:before="0" w:after="0" w:line="20" w:lineRule="exact"/>
      <w:ind w:left="0" w:right="0" w:firstLine="0"/>
      <w:jc w:val="left"/>
    </w:pPr>
    <w:rPr>
      <w:rFonts w:ascii="IBM Plex Sans" w:hAnsi="IBM Plex Sans"/>
      <w:b w:val="false"/>
      <w:bCs w:val="false"/>
      <w:i w:val="false"/>
      <w:iCs w:val="false"/>
      <w:caps w:val="false"/>
      <w:color w:val="F5A524"/>
      <w:sz w:val="2"/>
      <w:szCs w:val="2"/>
    </w:rPr>
  </w:style>
  <w:style w:type="paragraph" w:styleId="ChapterNumber" w:customStyle="true">
    <w:name w:val="Chapter Number"/>
    <w:basedOn w:val="Normal"/>
    <w:qFormat/>
    <w:pPr>
      <w:keepNext/>
      <w:suppressAutoHyphens/>
      <w:spacing w:before="1296" w:after="96" w:line="288" w:lineRule="auto"/>
      <w:ind w:left="0" w:right="0" w:firstLine="0"/>
      <w:jc w:val="center"/>
    </w:pPr>
    <w:rPr>
      <w:rFonts w:ascii="IBM Plex Sans" w:hAnsi="IBM Plex Sans"/>
      <w:b w:val="true"/>
      <w:bCs w:val="true"/>
      <w:i w:val="false"/>
      <w:iCs w:val="false"/>
      <w:caps w:val="true"/>
      <w:color w:val="8F5B00"/>
      <w:spacing w:val="29"/>
      <w:sz w:val="16"/>
      <w:szCs w:val="16"/>
    </w:rPr>
  </w:style>
  <w:style w:type="paragraph" w:styleId="ChapterTitle" w:customStyle="true">
    <w:name w:val="Chapter Title"/>
    <w:basedOn w:val="Normal"/>
    <w:next w:val="Normal"/>
    <w:qFormat/>
    <w:pPr>
      <w:keepNext/>
      <w:keepLines/>
      <w:suppressAutoHyphens/>
      <w:spacing w:before="0" w:after="320" w:line="602" w:lineRule="atLeast"/>
      <w:ind w:left="0" w:right="0" w:firstLine="0"/>
      <w:jc w:val="center"/>
      <w:outlineLvl w:val="0"/>
    </w:pPr>
    <w:rPr>
      <w:rFonts w:ascii="IBM Plex Serif" w:hAnsi="IBM Plex Serif"/>
      <w:b w:val="false"/>
      <w:bCs w:val="false"/>
      <w:i w:val="false"/>
      <w:iCs w:val="false"/>
      <w:caps w:val="false"/>
      <w:color w:val="1A237E"/>
      <w:spacing w:val="-8"/>
      <w:sz w:val="52"/>
      <w:szCs w:val="52"/>
    </w:rPr>
  </w:style>
  <w:style w:type="paragraph" w:styleId="Title">
    <w:name w:val="Title"/>
    <w:basedOn w:val="Normal"/>
    <w:qFormat/>
    <w:pPr>
      <w:keepNext/>
      <w:suppressAutoHyphens/>
      <w:spacing w:before="0" w:after="0" w:line="758" w:lineRule="atLeast"/>
      <w:ind w:left="0" w:right="0" w:firstLine="0"/>
      <w:jc w:val="left"/>
    </w:pPr>
    <w:rPr>
      <w:rFonts w:ascii="IBM Plex Serif" w:hAnsi="IBM Plex Serif"/>
      <w:b w:val="false"/>
      <w:bCs w:val="false"/>
      <w:i w:val="false"/>
      <w:iCs w:val="false"/>
      <w:caps w:val="false"/>
      <w:color w:val="FFFFFF"/>
      <w:spacing w:val="-11"/>
      <w:sz w:val="70"/>
      <w:szCs w:val="70"/>
    </w:rPr>
  </w:style>
  <w:style w:type="paragraph" w:styleId="Subtitle">
    <w:name w:val="Subtitle"/>
    <w:basedOn w:val="Normal"/>
    <w:qFormat/>
    <w:pPr>
      <w:keepNext/>
      <w:suppressAutoHyphens/>
      <w:spacing w:before="140" w:after="0" w:line="383" w:lineRule="atLeast"/>
      <w:ind w:left="0" w:right="0" w:firstLine="0"/>
      <w:jc w:val="left"/>
    </w:pPr>
    <w:rPr>
      <w:rFonts w:ascii="IBM Plex Serif" w:hAnsi="IBM Plex Serif"/>
      <w:b w:val="false"/>
      <w:bCs w:val="false"/>
      <w:i w:val="false"/>
      <w:iCs w:val="false"/>
      <w:caps w:val="false"/>
      <w:color w:val="FFFFFF"/>
      <w:sz w:val="29"/>
      <w:szCs w:val="29"/>
    </w:rPr>
  </w:style>
  <w:style w:type="paragraph" w:styleId="CoverDescription" w:customStyle="true">
    <w:name w:val="Cover Description"/>
    <w:basedOn w:val="Normal"/>
    <w:qFormat/>
    <w:pPr>
      <w:spacing w:before="280" w:after="0" w:line="300" w:lineRule="atLeast"/>
      <w:ind w:left="0" w:right="0" w:firstLine="0"/>
      <w:jc w:val="left"/>
    </w:pPr>
    <w:rPr>
      <w:rFonts w:ascii="IBM Plex Sans" w:hAnsi="IBM Plex Sans"/>
      <w:b w:val="false"/>
      <w:bCs w:val="false"/>
      <w:i w:val="false"/>
      <w:iCs w:val="false"/>
      <w:caps w:val="false"/>
      <w:color w:val="C5CAE6"/>
      <w:sz w:val="20"/>
      <w:szCs w:val="20"/>
    </w:rPr>
  </w:style>
  <w:style w:type="paragraph" w:styleId="CoverMeta" w:customStyle="true">
    <w:name w:val="Cover Meta"/>
    <w:basedOn w:val="Normal"/>
    <w:qFormat/>
    <w:pPr>
      <w:pBdr>
        <w:top w:val="single" w:color="C5CAE6" w:sz="6" w:space="8"/>
      </w:pBdr>
      <w:spacing w:before="140" w:after="0" w:line="249" w:lineRule="atLeast"/>
      <w:ind w:left="0" w:right="0" w:firstLine="0"/>
      <w:jc w:val="left"/>
    </w:pPr>
    <w:rPr>
      <w:rFonts w:ascii="IBM Plex Sans" w:hAnsi="IBM Plex Sans"/>
      <w:b w:val="false"/>
      <w:bCs w:val="false"/>
      <w:i w:val="false"/>
      <w:iCs w:val="false"/>
      <w:caps w:val="false"/>
      <w:color w:val="C5CAE6"/>
      <w:sz w:val="18"/>
      <w:szCs w:val="18"/>
    </w:rPr>
  </w:style>
  <w:style w:type="paragraph" w:styleId="CoverRule" w:customStyle="true">
    <w:name w:val="Cover Rule"/>
    <w:basedOn w:val="Normal"/>
    <w:qFormat/>
    <w:pPr>
      <w:keepNext/>
      <w:spacing w:before="0" w:after="0" w:line="20" w:lineRule="exact"/>
      <w:ind w:left="0" w:right="0" w:firstLine="0"/>
      <w:jc w:val="left"/>
    </w:pPr>
    <w:rPr>
      <w:rFonts w:ascii="IBM Plex Sans" w:hAnsi="IBM Plex Sans"/>
      <w:b w:val="false"/>
      <w:bCs w:val="false"/>
      <w:i w:val="false"/>
      <w:iCs w:val="false"/>
      <w:caps w:val="false"/>
      <w:color w:val="F5A524"/>
      <w:sz w:val="2"/>
      <w:szCs w:val="2"/>
    </w:rPr>
  </w:style>
  <w:style w:type="paragraph" w:styleId="Header">
    <w:name w:val="Header"/>
    <w:basedOn w:val="Normal"/>
    <w:qFormat/>
    <w:pPr>
      <w:suppressAutoHyphens/>
      <w:spacing w:before="0" w:after="0" w:line="288" w:lineRule="auto"/>
      <w:ind w:left="0" w:right="0" w:firstLine="0"/>
      <w:jc w:val="left"/>
    </w:pPr>
    <w:rPr>
      <w:rFonts w:ascii="IBM Plex Sans" w:hAnsi="IBM Plex Sans"/>
      <w:b w:val="false"/>
      <w:bCs w:val="false"/>
      <w:i w:val="false"/>
      <w:iCs w:val="false"/>
      <w:caps w:val="false"/>
      <w:color w:val="5B6275"/>
      <w:sz w:val="18"/>
      <w:szCs w:val="18"/>
    </w:rPr>
  </w:style>
  <w:style w:type="paragraph" w:styleId="Footer">
    <w:name w:val="Footer"/>
    <w:basedOn w:val="Normal"/>
    <w:qFormat/>
    <w:pPr>
      <w:suppressAutoHyphens/>
      <w:spacing w:before="0" w:after="0" w:line="288" w:lineRule="auto"/>
      <w:ind w:left="0" w:right="0" w:firstLine="0"/>
      <w:jc w:val="left"/>
    </w:pPr>
    <w:rPr>
      <w:rFonts w:ascii="IBM Plex Sans" w:hAnsi="IBM Plex Sans"/>
      <w:b w:val="false"/>
      <w:bCs w:val="false"/>
      <w:i w:val="false"/>
      <w:iCs w:val="false"/>
      <w:caps w:val="false"/>
      <w:color w:val="5B6275"/>
      <w:sz w:val="18"/>
      <w:szCs w:val="18"/>
    </w:rPr>
  </w:style>
  <w:style w:type="character" w:styleId="InlineCode" w:customStyle="true">
    <w:name w:val="Inline Code"/>
    <w:basedOn w:val="DefaultParagraphFont"/>
    <w:uiPriority w:val="99"/>
    <w:unhideWhenUsed/>
    <w:rPr>
      <w:rFonts w:ascii="IBM Plex Mono" w:hAnsi="IBM Plex Mono"/>
      <w:color w:val="1F2433"/>
      <w:sz w:val="17"/>
      <w:szCs w:val="17"/>
      <w:shd w:val="clear" w:color="auto" w:fill="F4F5FA"/>
    </w:rPr>
  </w:style>
  <w:style w:type="character" w:styleId="Hyperlink">
    <w:name w:val="Hyperlink"/>
    <w:basedOn w:val="DefaultParagraphFont"/>
    <w:uiPriority w:val="99"/>
    <w:unhideWhenUsed/>
    <w:rPr>
      <w:color w:val="283593"/>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799f66f63f8e41d9" /><Relationship Type="http://schemas.openxmlformats.org/officeDocument/2006/relationships/footer" Target="/word/footer1.xml" Id="Rbf9ffee6bde34959" /><Relationship Type="http://schemas.openxmlformats.org/officeDocument/2006/relationships/numbering" Target="/word/numbering.xml" Id="R27362741c79e4a21" /><Relationship Type="http://schemas.openxmlformats.org/officeDocument/2006/relationships/fontTable" Target="/word/fontTable.xml" Id="R5ab92bc9f913427f" /><Relationship Type="http://schemas.openxmlformats.org/officeDocument/2006/relationships/settings" Target="/word/settings.xml" Id="R4a5becedd56d4485" /></Relationships>
</file>