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d7b7f1496444c43" /></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Pr>
      <w:tblGrid>
        <w:gridCol w:w="11906"/>
      </w:tblGrid>
      <w:tr>
        <w:trPr>
          <w:cantSplit/>
          <w:trHeight w:val="7699" w:hRule="atLeast"/>
        </w:trPr>
        <w:tc>
          <w:tcPr>
            <w:tcW w:w="11906" w:type="dxa"/>
            <w:shd w:val="clear" w:color="auto" w:fill="0B2A5C"/>
            <w:tcMar>
              <w:top w:w="1440" w:type="dxa"/>
              <w:left w:w="1440" w:type="dxa"/>
              <w:bottom w:w="280" w:type="dxa"/>
              <w:right w:w="1440" w:type="dxa"/>
            </w:tcMar>
            <w:vAlign w:val="bottom"/>
          </w:tcPr>
          <w:p>
            <w:pPr>
              <w:pStyle w:val="Title"/>
              <w:jc w:val="left"/>
            </w:pPr>
            <w:r>
              <w:rPr>
                <w:lang w:val="en-US"/>
              </w:rPr>
              <w:t xml:space="preserve">What to Do After a Data Breach: A Brief for a Small Organisation's Owner</w:t>
            </w:r>
          </w:p>
          <w:p>
            <w:pPr>
              <w:pStyle w:val="CoverRule"/>
              <w:keepNext/>
              <w:pBdr>
                <w:bottom w:val="single" w:color="E8620C" w:sz="24" w:space="0"/>
              </w:pBdr>
              <w:spacing w:before="120" w:after="0" w:line="20" w:lineRule="exact"/>
              <w:ind w:left="0" w:right="8546" w:firstLine="0"/>
              <w:rPr>
                <w:sz w:val="2"/>
                <w:szCs w:val="2"/>
              </w:rPr>
            </w:pPr>
          </w:p>
        </w:tc>
      </w:tr>
      <w:tr>
        <w:trPr>
          <w:cantSplit/>
          <w:trHeight w:val="6639" w:hRule="atLeast"/>
        </w:trPr>
        <w:tc>
          <w:tcPr>
            <w:tcW w:w="11906" w:type="dxa"/>
            <w:tcMar>
              <w:top w:w="400" w:type="dxa"/>
              <w:left w:w="1440" w:type="dxa"/>
              <w:bottom w:w="0" w:type="dxa"/>
              <w:right w:w="1440" w:type="dxa"/>
            </w:tcMar>
            <w:vAlign w:val="top"/>
          </w:tcPr>
          <w:p>
            <w:pPr>
              <w:spacing w:before="0" w:after="0" w:line="20" w:lineRule="exact"/>
              <w:rPr>
                <w:sz w:val="2"/>
                <w:szCs w:val="2"/>
              </w:rPr>
            </w:pPr>
          </w:p>
        </w:tc>
      </w:tr>
      <w:tr>
        <w:trPr>
          <w:cantSplit/>
          <w:trHeight w:val="2340" w:hRule="atLeast"/>
        </w:trPr>
        <w:tc>
          <w:tcPr>
            <w:tcW w:w="11906" w:type="dxa"/>
            <w:tcMar>
              <w:top w:w="0" w:type="dxa"/>
              <w:left w:w="1440" w:type="dxa"/>
              <w:bottom w:w="1440" w:type="dxa"/>
              <w:right w:w="1440" w:type="dxa"/>
            </w:tcMar>
            <w:vAlign w:val="bottom"/>
          </w:tcPr>
          <w:p>
            <w:pPr>
              <w:pStyle w:val="CoverMeta"/>
              <w:spacing w:before="0"/>
              <w:jc w:val="left"/>
            </w:pPr>
            <w:r>
              <w:rPr>
                <w:lang w:val="en-US"/>
              </w:rPr>
              <w:t xml:space="preserve">October 03,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TOCHeading"/>
      </w:pPr>
      <w:r>
        <w:rPr>
          <w:lang w:val="en-US"/>
        </w:rPr>
        <w:t xml:space="preserve">Table of Contents</w:t>
      </w:r>
    </w:p>
    <w:p>
      <w:pPr>
        <w:pStyle w:val="TOC1"/>
      </w:pPr>
      <w:r>
        <w:rPr>
          <w:lang w:val="en-US"/>
        </w:rPr>
        <w:t xml:space="preserve">Executive Summary</w:t>
      </w:r>
    </w:p>
    <w:p>
      <w:pPr>
        <w:pStyle w:val="TOC2"/>
      </w:pPr>
      <w:r>
        <w:rPr>
          <w:lang w:val="en-US"/>
        </w:rPr>
        <w:t xml:space="preserve">Context and Objectives</w:t>
      </w:r>
    </w:p>
    <w:p>
      <w:pPr>
        <w:pStyle w:val="TOC1"/>
      </w:pPr>
      <w:r>
        <w:rPr>
          <w:lang w:val="en-US"/>
        </w:rPr>
        <w:t xml:space="preserve">Facts and Findings</w:t>
      </w:r>
    </w:p>
    <w:p>
      <w:pPr>
        <w:pStyle w:val="TOC1"/>
      </w:pPr>
      <w:r>
        <w:rPr>
          <w:lang w:val="en-US"/>
        </w:rPr>
        <w:t xml:space="preserve">Financial and Impact Model</w:t>
      </w:r>
    </w:p>
    <w:p>
      <w:pPr>
        <w:pStyle w:val="TOC1"/>
      </w:pPr>
      <w:r>
        <w:rPr>
          <w:lang w:val="en-US"/>
        </w:rPr>
        <w:t xml:space="preserve">Options and Trade-offs</w:t>
      </w:r>
    </w:p>
    <w:p>
      <w:pPr>
        <w:pStyle w:val="TOC1"/>
      </w:pPr>
      <w:r>
        <w:rPr>
          <w:lang w:val="en-US"/>
        </w:rPr>
        <w:t xml:space="preserve">Risks and Mitigations</w:t>
      </w:r>
    </w:p>
    <w:p>
      <w:pPr>
        <w:pStyle w:val="TOC1"/>
      </w:pPr>
      <w:r>
        <w:rPr>
          <w:lang w:val="en-US"/>
        </w:rPr>
        <w:t xml:space="preserve">Recommendation and Next Steps</w:t>
      </w:r>
    </w:p>
    <w:p>
      <w:pPr>
        <w:pStyle w:val="TOC1"/>
      </w:pPr>
      <w:r>
        <w:rPr>
          <w:lang w:val="en-US"/>
        </w:rPr>
        <w:t xml:space="preserve">Conclusion</w:t>
      </w:r>
    </w:p>
    <w:p>
      <w:pPr>
        <w:pStyle w:val="TOC1"/>
      </w:pPr>
      <w:r>
        <w:rPr>
          <w:lang w:val="en-US"/>
        </w:rPr>
        <w:t xml:space="preserve">Sources</w:t>
      </w:r>
    </w:p>
    <w:p>
      <w:r>
        <w:br w:type="page"/>
      </w:r>
    </w:p>
    <w:p>
      <w:pPr>
        <w:pStyle w:val="Heading2"/>
        <w:outlineLvl w:val="1"/>
      </w:pPr>
      <w:r>
        <w:rPr>
          <w:lang w:val="en-US"/>
        </w:rPr>
        <w:t xml:space="preserve">Executive Summary</w:t>
      </w:r>
    </w:p>
    <w:p>
      <w:pPr>
        <w:pStyle w:val="Normal"/>
      </w:pPr>
      <w:r>
        <w:rPr>
          <w:lang w:val="en-US"/>
        </w:rPr>
        <w:t xml:space="preserve">A confirmed or suspected data breach calls for a coordinated enterprise response. The organization must protect affected people, preserve evidence, meet applicable notification duties, and restore operational control without creating another exposure. Federal Trade Commission (FTC) guidance recommends mobilizing a multidisciplinary response team, containing the incident quickly, conducting an independent forensic investigation when appropriate, consulting legal counsel, fixing vulnerabilities, and coordinating communications. [1]</w:t>
      </w:r>
    </w:p>
    <w:p>
      <w:pPr>
        <w:pStyle w:val="Normal"/>
      </w:pPr>
      <w:r>
        <w:rPr>
          <w:lang w:val="en-US"/>
        </w:rPr>
        <w:t xml:space="preserve">The key executive decision is not whether to respond, but how to coordinate the response. Containment and evidence preservation should proceed alongside legal assessment and stakeholder preparation. Taking affected equipment offline while preserving it for forensic review, changing compromised credentials, restricting unnecessary access, and checking service provider remediation can support a more defensible response than an improvised recovery effort. [1]</w:t>
      </w:r>
    </w:p>
    <w:p>
      <w:pPr>
        <w:pStyle w:val="Normal"/>
      </w:pPr>
      <w:r>
        <w:rPr>
          <w:lang w:val="en-US"/>
        </w:rPr>
        <w:t xml:space="preserve">Notification decisions require care. State, federal, territorial, industry, and health-related requirements may apply, depending on the information involved and the organization's circumstances. The FTC advises notifying law enforcement, affected businesses, and affected individuals as appropriate. It also recommends coordinating notice timing and content with law enforcement so communications do not impede an investigation. [1]</w:t>
      </w:r>
    </w:p>
    <w:p>
      <w:pPr>
        <w:pStyle w:val="Normal"/>
      </w:pPr>
      <w:r>
        <w:rPr>
          <w:lang w:val="en-US"/>
        </w:rPr>
        <w:t xml:space="preserve">The recommended approach is to activate a governed incident response program immediately. Contain the incident, preserve evidence, establish legal and forensic facts, identify affected information and people, prepare plain-language notices, and verify remediation. Assign one authorized communications lead and give affected individuals practical protection and recovery guidance suited to the information exposed. [1]</w:t>
      </w:r>
    </w:p>
    <w:p>
      <w:pPr>
        <w:pStyle w:val="Heading3"/>
        <w:outlineLvl w:val="2"/>
      </w:pPr>
      <w:r>
        <w:rPr>
          <w:lang w:val="en-US"/>
        </w:rPr>
        <w:t xml:space="preserve">Context and Objectives</w:t>
      </w:r>
    </w:p>
    <w:p>
      <w:pPr>
        <w:pStyle w:val="Normal"/>
      </w:pPr>
      <w:r>
        <w:rPr>
          <w:lang w:val="en-US"/>
        </w:rPr>
        <w:t xml:space="preserve">A data breach may result from an external intrusion, insider theft, or accidental online exposure of personal information. Whatever the cause, leaders must manage several connected goals: stop further loss, determine what happened, protect evidence, identify affected information and people, meet legal and notification duties, support customers and business partners, and reduce the chance of another incident. [1]</w:t>
      </w:r>
    </w:p>
    <w:p>
      <w:pPr>
        <w:pStyle w:val="Normal"/>
      </w:pPr>
      <w:r>
        <w:rPr>
          <w:lang w:val="en-US"/>
        </w:rPr>
        <w:t xml:space="preserve">At the outset, important facts may be unknown. The organization may not know how the compromise began, how far it spread, which systems were affected, who had access, whether information was misused, or whether a service provider played a role. The FTC advises using forensic analysis, reviewing preserved data and logs, assessing access privileges, and verifying the types of compromised information and the number of people who may be affected. [1]</w:t>
      </w:r>
    </w:p>
    <w:p>
      <w:pPr>
        <w:pStyle w:val="Normal"/>
      </w:pPr>
      <w:r>
        <w:rPr>
          <w:lang w:val="en-US"/>
        </w:rPr>
        <w:t xml:space="preserve">Executives should establish control before making broad external commitments. This does not mean delaying information that could help people protect themselves. It means basing communications on verified facts, avoiding misleading statements, coordinating with law enforcement, and explaining what is known, what the organization is doing, and what protective steps people can take. [1]</w:t>
      </w:r>
    </w:p>
    <w:p>
      <w:pPr>
        <w:pStyle w:val="Normal"/>
      </w:pPr>
      <w:r>
        <w:rPr>
          <w:lang w:val="en-US"/>
        </w:rPr>
        <w:t xml:space="preserve">Executive oversight should focus on decision rights, evidence quality, notification readiness, service provider accountability, and verified remediation. A breach is a business continuity, legal, customer trust, and information security issue-not only an information technology event. The FTC identifies forensics, legal, information security, information technology, operations, human resources, communications, investor relations, and management as potential members of a comprehensive response team. [1]</w:t>
      </w:r>
    </w:p>
    <w:p>
      <w:pPr>
        <w:pStyle w:val="Heading2"/>
        <w:outlineLvl w:val="1"/>
      </w:pPr>
      <w:r>
        <w:rPr>
          <w:lang w:val="en-US"/>
        </w:rPr>
        <w:t xml:space="preserve">Facts and Findings</w:t>
      </w:r>
    </w:p>
    <w:p>
      <w:pPr>
        <w:pStyle w:val="Normal"/>
      </w:pPr>
      <w:r>
        <w:rPr>
          <w:lang w:val="en-US"/>
        </w:rPr>
        <w:t xml:space="preserve">The guidance supports a coordinated response model. Containment, investigation, remediation, notification, and stakeholder communications should be managed as connected workstreams rather than isolated tasks. The findings below summarize the guidance and its business implications. [1]</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2257"/>
        <w:gridCol w:w="2257"/>
        <w:gridCol w:w="2256"/>
        <w:gridCol w:w="2256"/>
      </w:tblGrid>
      <w:tr>
        <w:trPr>
          <w:cantSplit/>
          <w:tblHeader/>
        </w:trPr>
        <w:tc>
          <w:tcPr>
            <w:tcW w:w="2257" w:type="dxa"/>
            <w:shd w:val="clear" w:color="auto" w:fill="0B2A5C"/>
          </w:tcPr>
          <w:p>
            <w:pPr>
              <w:pStyle w:val="TableHeading"/>
              <w:spacing w:before="0" w:after="0" w:line="240" w:lineRule="auto"/>
              <w:ind w:left="0" w:right="0" w:firstLine="0"/>
              <w:jc w:val="left"/>
            </w:pPr>
            <w:r>
              <w:rPr>
                <w:b/>
                <w:lang w:val="en-US"/>
              </w:rPr>
              <w:t xml:space="preserve">Finding</w:t>
            </w:r>
          </w:p>
        </w:tc>
        <w:tc>
          <w:tcPr>
            <w:tcW w:w="2257" w:type="dxa"/>
            <w:shd w:val="clear" w:color="auto" w:fill="0B2A5C"/>
          </w:tcPr>
          <w:p>
            <w:pPr>
              <w:pStyle w:val="TableHeading"/>
              <w:spacing w:before="0" w:after="0" w:line="240" w:lineRule="auto"/>
              <w:ind w:left="0" w:right="0" w:firstLine="0"/>
              <w:jc w:val="left"/>
            </w:pPr>
            <w:r>
              <w:rPr>
                <w:b/>
                <w:lang w:val="en-US"/>
              </w:rPr>
              <w:t xml:space="preserve">Evidence</w:t>
            </w:r>
          </w:p>
        </w:tc>
        <w:tc>
          <w:tcPr>
            <w:tcW w:w="2256" w:type="dxa"/>
            <w:shd w:val="clear" w:color="auto" w:fill="0B2A5C"/>
          </w:tcPr>
          <w:p>
            <w:pPr>
              <w:pStyle w:val="TableHeading"/>
              <w:spacing w:before="0" w:after="0" w:line="240" w:lineRule="auto"/>
              <w:ind w:left="0" w:right="0" w:firstLine="0"/>
              <w:jc w:val="left"/>
            </w:pPr>
            <w:r>
              <w:rPr>
                <w:b/>
                <w:lang w:val="en-US"/>
              </w:rPr>
              <w:t xml:space="preserve">Business implication</w:t>
            </w:r>
          </w:p>
        </w:tc>
        <w:tc>
          <w:tcPr>
            <w:tcW w:w="2256" w:type="dxa"/>
            <w:shd w:val="clear" w:color="auto" w:fill="0B2A5C"/>
          </w:tcPr>
          <w:p>
            <w:pPr>
              <w:pStyle w:val="TableHeading"/>
              <w:spacing w:before="0" w:after="0" w:line="240" w:lineRule="auto"/>
              <w:ind w:left="0" w:right="0" w:firstLine="0"/>
              <w:jc w:val="left"/>
            </w:pPr>
            <w:r>
              <w:rPr>
                <w:b/>
                <w:lang w:val="en-US"/>
              </w:rPr>
              <w:t xml:space="preserve">Source</w:t>
            </w:r>
          </w:p>
        </w:tc>
      </w:tr>
      <w:tr>
        <w:trPr>
          <w:cantSplit/>
        </w:trPr>
        <w:tc>
          <w:tcPr>
            <w:tcW w:w="2257" w:type="dxa"/>
          </w:tcPr>
          <w:p>
            <w:pPr>
              <w:pStyle w:val="TableText"/>
              <w:spacing w:before="0" w:after="0" w:line="240" w:lineRule="auto"/>
              <w:ind w:left="0" w:right="0" w:firstLine="0"/>
              <w:jc w:val="left"/>
            </w:pPr>
            <w:r>
              <w:rPr>
                <w:lang w:val="en-US"/>
              </w:rPr>
              <w:t xml:space="preserve">Containment should begin immediately.</w:t>
            </w:r>
          </w:p>
        </w:tc>
        <w:tc>
          <w:tcPr>
            <w:tcW w:w="2257" w:type="dxa"/>
          </w:tcPr>
          <w:p>
            <w:pPr>
              <w:pStyle w:val="TableText"/>
              <w:spacing w:before="0" w:after="0" w:line="240" w:lineRule="auto"/>
              <w:ind w:left="0" w:right="0" w:firstLine="0"/>
              <w:jc w:val="left"/>
            </w:pPr>
            <w:r>
              <w:rPr>
                <w:lang w:val="en-US"/>
              </w:rPr>
              <w:t xml:space="preserve">The FTC says that the only thing worse than a data breach is multiple data breaches, and advises mobilizing the response team right away to prevent additional data loss. [1]</w:t>
            </w:r>
          </w:p>
        </w:tc>
        <w:tc>
          <w:tcPr>
            <w:tcW w:w="2256" w:type="dxa"/>
          </w:tcPr>
          <w:p>
            <w:pPr>
              <w:pStyle w:val="TableText"/>
              <w:spacing w:before="0" w:after="0" w:line="240" w:lineRule="auto"/>
              <w:ind w:left="0" w:right="0" w:firstLine="0"/>
              <w:jc w:val="left"/>
            </w:pPr>
            <w:r>
              <w:rPr>
                <w:lang w:val="en-US"/>
              </w:rPr>
              <w:t xml:space="preserve">Authorize immediate containment and assign accountable owners before broader recovery begins.</w:t>
            </w:r>
          </w:p>
        </w:tc>
        <w:tc>
          <w:tcPr>
            <w:tcW w:w="2256" w:type="dxa"/>
          </w:tcPr>
          <w:p>
            <w:pPr>
              <w:pStyle w:val="TableText"/>
              <w:spacing w:before="0" w:after="0" w:line="240" w:lineRule="auto"/>
              <w:ind w:left="0" w:right="0" w:firstLine="0"/>
              <w:jc w:val="left"/>
            </w:pPr>
            <w:r>
              <w:rPr>
                <w:lang w:val="en-US"/>
              </w:rPr>
              <w:t xml:space="preserve">[1]</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A multidisciplinary response team is needed.</w:t>
            </w:r>
          </w:p>
        </w:tc>
        <w:tc>
          <w:tcPr>
            <w:tcW w:w="2257" w:type="dxa"/>
            <w:shd w:val="clear" w:color="auto" w:fill="F4F7FB"/>
          </w:tcPr>
          <w:p>
            <w:pPr>
              <w:pStyle w:val="TableText"/>
              <w:spacing w:before="0" w:after="0" w:line="240" w:lineRule="auto"/>
              <w:ind w:left="0" w:right="0" w:firstLine="0"/>
              <w:jc w:val="left"/>
            </w:pPr>
            <w:r>
              <w:rPr>
                <w:lang w:val="en-US"/>
              </w:rPr>
              <w:t xml:space="preserve">The FTC identifies forensics, legal, information security, information technology, operations, human resources, communications, investor relations, and management as potential participants. [1]</w:t>
            </w:r>
          </w:p>
        </w:tc>
        <w:tc>
          <w:tcPr>
            <w:tcW w:w="2256" w:type="dxa"/>
            <w:shd w:val="clear" w:color="auto" w:fill="F4F7FB"/>
          </w:tcPr>
          <w:p>
            <w:pPr>
              <w:pStyle w:val="TableText"/>
              <w:spacing w:before="0" w:after="0" w:line="240" w:lineRule="auto"/>
              <w:ind w:left="0" w:right="0" w:firstLine="0"/>
              <w:jc w:val="left"/>
            </w:pPr>
            <w:r>
              <w:rPr>
                <w:lang w:val="en-US"/>
              </w:rPr>
              <w:t xml:space="preserve">Govern the incident across functions, with an executive sponsor and clear escalation paths.</w:t>
            </w:r>
          </w:p>
        </w:tc>
        <w:tc>
          <w:tcPr>
            <w:tcW w:w="2256" w:type="dxa"/>
            <w:shd w:val="clear" w:color="auto" w:fill="F4F7FB"/>
          </w:tcPr>
          <w:p>
            <w:pPr>
              <w:pStyle w:val="TableText"/>
              <w:spacing w:before="0" w:after="0" w:line="240" w:lineRule="auto"/>
              <w:ind w:left="0" w:right="0" w:firstLine="0"/>
              <w:jc w:val="left"/>
            </w:pPr>
            <w:r>
              <w:rPr>
                <w:lang w:val="en-US"/>
              </w:rPr>
              <w:t xml:space="preserve">[1]</w:t>
            </w:r>
          </w:p>
        </w:tc>
      </w:tr>
      <w:tr>
        <w:trPr>
          <w:cantSplit/>
        </w:trPr>
        <w:tc>
          <w:tcPr>
            <w:tcW w:w="2257" w:type="dxa"/>
          </w:tcPr>
          <w:p>
            <w:pPr>
              <w:pStyle w:val="TableText"/>
              <w:spacing w:before="0" w:after="0" w:line="240" w:lineRule="auto"/>
              <w:ind w:left="0" w:right="0" w:firstLine="0"/>
              <w:jc w:val="left"/>
            </w:pPr>
            <w:r>
              <w:rPr>
                <w:lang w:val="en-US"/>
              </w:rPr>
              <w:t xml:space="preserve">Preserve evidence while containing affected systems.</w:t>
            </w:r>
          </w:p>
        </w:tc>
        <w:tc>
          <w:tcPr>
            <w:tcW w:w="2257" w:type="dxa"/>
          </w:tcPr>
          <w:p>
            <w:pPr>
              <w:pStyle w:val="TableText"/>
              <w:spacing w:before="0" w:after="0" w:line="240" w:lineRule="auto"/>
              <w:ind w:left="0" w:right="0" w:firstLine="0"/>
              <w:jc w:val="left"/>
            </w:pPr>
            <w:r>
              <w:rPr>
                <w:lang w:val="en-US"/>
              </w:rPr>
              <w:t xml:space="preserve">The FTC advises taking affected equipment offline, but not turning machines off before forensic experts arrive. It also says not to destroy forensic evidence during investigation and remediation. [1]</w:t>
            </w:r>
          </w:p>
        </w:tc>
        <w:tc>
          <w:tcPr>
            <w:tcW w:w="2256" w:type="dxa"/>
          </w:tcPr>
          <w:p>
            <w:pPr>
              <w:pStyle w:val="TableText"/>
              <w:spacing w:before="0" w:after="0" w:line="240" w:lineRule="auto"/>
              <w:ind w:left="0" w:right="0" w:firstLine="0"/>
              <w:jc w:val="left"/>
            </w:pPr>
            <w:r>
              <w:rPr>
                <w:lang w:val="en-US"/>
              </w:rPr>
              <w:t xml:space="preserve">Procedures should distinguish isolating a system from actions that could compromise its evidentiary value.</w:t>
            </w:r>
          </w:p>
        </w:tc>
        <w:tc>
          <w:tcPr>
            <w:tcW w:w="2256" w:type="dxa"/>
          </w:tcPr>
          <w:p>
            <w:pPr>
              <w:pStyle w:val="TableText"/>
              <w:spacing w:before="0" w:after="0" w:line="240" w:lineRule="auto"/>
              <w:ind w:left="0" w:right="0" w:firstLine="0"/>
              <w:jc w:val="left"/>
            </w:pPr>
            <w:r>
              <w:rPr>
                <w:lang w:val="en-US"/>
              </w:rPr>
              <w:t xml:space="preserve">[1]</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Credentials and access need prompt review.</w:t>
            </w:r>
          </w:p>
        </w:tc>
        <w:tc>
          <w:tcPr>
            <w:tcW w:w="2257" w:type="dxa"/>
            <w:shd w:val="clear" w:color="auto" w:fill="F4F7FB"/>
          </w:tcPr>
          <w:p>
            <w:pPr>
              <w:pStyle w:val="TableText"/>
              <w:spacing w:before="0" w:after="0" w:line="240" w:lineRule="auto"/>
              <w:ind w:left="0" w:right="0" w:firstLine="0"/>
              <w:jc w:val="left"/>
            </w:pPr>
            <w:r>
              <w:rPr>
                <w:lang w:val="en-US"/>
              </w:rPr>
              <w:t xml:space="preserve">The FTC advises updating authorized users' credentials and passwords because stolen credentials can leave systems vulnerable. It also recommends checking whether access is still needed and restricting access that is not. [1]</w:t>
            </w:r>
          </w:p>
        </w:tc>
        <w:tc>
          <w:tcPr>
            <w:tcW w:w="2256" w:type="dxa"/>
            <w:shd w:val="clear" w:color="auto" w:fill="F4F7FB"/>
          </w:tcPr>
          <w:p>
            <w:pPr>
              <w:pStyle w:val="TableText"/>
              <w:spacing w:before="0" w:after="0" w:line="240" w:lineRule="auto"/>
              <w:ind w:left="0" w:right="0" w:firstLine="0"/>
              <w:jc w:val="left"/>
            </w:pPr>
            <w:r>
              <w:rPr>
                <w:lang w:val="en-US"/>
              </w:rPr>
              <w:t xml:space="preserve">Prioritize identity, privilege, and third-party access reviews alongside technical containment.</w:t>
            </w:r>
          </w:p>
        </w:tc>
        <w:tc>
          <w:tcPr>
            <w:tcW w:w="2256" w:type="dxa"/>
            <w:shd w:val="clear" w:color="auto" w:fill="F4F7FB"/>
          </w:tcPr>
          <w:p>
            <w:pPr>
              <w:pStyle w:val="TableText"/>
              <w:spacing w:before="0" w:after="0" w:line="240" w:lineRule="auto"/>
              <w:ind w:left="0" w:right="0" w:firstLine="0"/>
              <w:jc w:val="left"/>
            </w:pPr>
            <w:r>
              <w:rPr>
                <w:lang w:val="en-US"/>
              </w:rPr>
              <w:t xml:space="preserve">[1]</w:t>
            </w:r>
          </w:p>
        </w:tc>
      </w:tr>
      <w:tr>
        <w:trPr>
          <w:cantSplit/>
        </w:trPr>
        <w:tc>
          <w:tcPr>
            <w:tcW w:w="2257" w:type="dxa"/>
          </w:tcPr>
          <w:p>
            <w:pPr>
              <w:pStyle w:val="TableText"/>
              <w:spacing w:before="0" w:after="0" w:line="240" w:lineRule="auto"/>
              <w:ind w:left="0" w:right="0" w:firstLine="0"/>
              <w:jc w:val="left"/>
            </w:pPr>
            <w:r>
              <w:rPr>
                <w:lang w:val="en-US"/>
              </w:rPr>
              <w:t xml:space="preserve">Review service providers independently.</w:t>
            </w:r>
          </w:p>
        </w:tc>
        <w:tc>
          <w:tcPr>
            <w:tcW w:w="2257" w:type="dxa"/>
          </w:tcPr>
          <w:p>
            <w:pPr>
              <w:pStyle w:val="TableText"/>
              <w:spacing w:before="0" w:after="0" w:line="240" w:lineRule="auto"/>
              <w:ind w:left="0" w:right="0" w:firstLine="0"/>
              <w:jc w:val="left"/>
            </w:pPr>
            <w:r>
              <w:rPr>
                <w:lang w:val="en-US"/>
              </w:rPr>
              <w:t xml:space="preserve">If providers were involved, the FTC advises examining their access to personal information, considering changes to access privileges, ensuring corrective action, and verifying that claimed remediation is complete. [1]</w:t>
            </w:r>
          </w:p>
        </w:tc>
        <w:tc>
          <w:tcPr>
            <w:tcW w:w="2256" w:type="dxa"/>
          </w:tcPr>
          <w:p>
            <w:pPr>
              <w:pStyle w:val="TableText"/>
              <w:spacing w:before="0" w:after="0" w:line="240" w:lineRule="auto"/>
              <w:ind w:left="0" w:right="0" w:firstLine="0"/>
              <w:jc w:val="left"/>
            </w:pPr>
            <w:r>
              <w:rPr>
                <w:lang w:val="en-US"/>
              </w:rPr>
              <w:t xml:space="preserve">Require evidence of corrective action rather than relying only on supplier assurances.</w:t>
            </w:r>
          </w:p>
        </w:tc>
        <w:tc>
          <w:tcPr>
            <w:tcW w:w="2256" w:type="dxa"/>
          </w:tcPr>
          <w:p>
            <w:pPr>
              <w:pStyle w:val="TableText"/>
              <w:spacing w:before="0" w:after="0" w:line="240" w:lineRule="auto"/>
              <w:ind w:left="0" w:right="0" w:firstLine="0"/>
              <w:jc w:val="left"/>
            </w:pPr>
            <w:r>
              <w:rPr>
                <w:lang w:val="en-US"/>
              </w:rPr>
              <w:t xml:space="preserve">[1]</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Test network segmentation against the incident.</w:t>
            </w:r>
          </w:p>
        </w:tc>
        <w:tc>
          <w:tcPr>
            <w:tcW w:w="2257" w:type="dxa"/>
            <w:shd w:val="clear" w:color="auto" w:fill="F4F7FB"/>
          </w:tcPr>
          <w:p>
            <w:pPr>
              <w:pStyle w:val="TableText"/>
              <w:spacing w:before="0" w:after="0" w:line="240" w:lineRule="auto"/>
              <w:ind w:left="0" w:right="0" w:firstLine="0"/>
              <w:jc w:val="left"/>
            </w:pPr>
            <w:r>
              <w:rPr>
                <w:lang w:val="en-US"/>
              </w:rPr>
              <w:t xml:space="preserve">The FTC advises working with forensic experts to assess whether segmentation contained the breach and to make needed changes promptly. [1]</w:t>
            </w:r>
          </w:p>
        </w:tc>
        <w:tc>
          <w:tcPr>
            <w:tcW w:w="2256" w:type="dxa"/>
            <w:shd w:val="clear" w:color="auto" w:fill="F4F7FB"/>
          </w:tcPr>
          <w:p>
            <w:pPr>
              <w:pStyle w:val="TableText"/>
              <w:spacing w:before="0" w:after="0" w:line="240" w:lineRule="auto"/>
              <w:ind w:left="0" w:right="0" w:firstLine="0"/>
              <w:jc w:val="left"/>
            </w:pPr>
            <w:r>
              <w:rPr>
                <w:lang w:val="en-US"/>
              </w:rPr>
              <w:t xml:space="preserve">Use the incident to check whether the network limited lateral exposure as intended.</w:t>
            </w:r>
          </w:p>
        </w:tc>
        <w:tc>
          <w:tcPr>
            <w:tcW w:w="2256" w:type="dxa"/>
            <w:shd w:val="clear" w:color="auto" w:fill="F4F7FB"/>
          </w:tcPr>
          <w:p>
            <w:pPr>
              <w:pStyle w:val="TableText"/>
              <w:spacing w:before="0" w:after="0" w:line="240" w:lineRule="auto"/>
              <w:ind w:left="0" w:right="0" w:firstLine="0"/>
              <w:jc w:val="left"/>
            </w:pPr>
            <w:r>
              <w:rPr>
                <w:lang w:val="en-US"/>
              </w:rPr>
              <w:t xml:space="preserve">[1]</w:t>
            </w:r>
          </w:p>
        </w:tc>
      </w:tr>
      <w:tr>
        <w:trPr>
          <w:cantSplit/>
        </w:trPr>
        <w:tc>
          <w:tcPr>
            <w:tcW w:w="2257" w:type="dxa"/>
          </w:tcPr>
          <w:p>
            <w:pPr>
              <w:pStyle w:val="TableText"/>
              <w:spacing w:before="0" w:after="0" w:line="240" w:lineRule="auto"/>
              <w:ind w:left="0" w:right="0" w:firstLine="0"/>
              <w:jc w:val="left"/>
            </w:pPr>
            <w:r>
              <w:rPr>
                <w:lang w:val="en-US"/>
              </w:rPr>
              <w:t xml:space="preserve">Communications should be accurate and protective.</w:t>
            </w:r>
          </w:p>
        </w:tc>
        <w:tc>
          <w:tcPr>
            <w:tcW w:w="2257" w:type="dxa"/>
          </w:tcPr>
          <w:p>
            <w:pPr>
              <w:pStyle w:val="TableText"/>
              <w:spacing w:before="0" w:after="0" w:line="240" w:lineRule="auto"/>
              <w:ind w:left="0" w:right="0" w:firstLine="0"/>
              <w:jc w:val="left"/>
            </w:pPr>
            <w:r>
              <w:rPr>
                <w:lang w:val="en-US"/>
              </w:rPr>
              <w:t xml:space="preserve">The FTC advises preparing communications for employees, customers, investors, business partners, and other stakeholders. It cautions against misleading statements, withholding key protective details, or publicly sharing information that could put consumers at further risk. [1]</w:t>
            </w:r>
          </w:p>
        </w:tc>
        <w:tc>
          <w:tcPr>
            <w:tcW w:w="2256" w:type="dxa"/>
          </w:tcPr>
          <w:p>
            <w:pPr>
              <w:pStyle w:val="TableText"/>
              <w:spacing w:before="0" w:after="0" w:line="240" w:lineRule="auto"/>
              <w:ind w:left="0" w:right="0" w:firstLine="0"/>
              <w:jc w:val="left"/>
            </w:pPr>
            <w:r>
              <w:rPr>
                <w:lang w:val="en-US"/>
              </w:rPr>
              <w:t xml:space="preserve">Approve a consistent factual narrative, audience-specific materials, and a controlled update process.</w:t>
            </w:r>
          </w:p>
        </w:tc>
        <w:tc>
          <w:tcPr>
            <w:tcW w:w="2256" w:type="dxa"/>
          </w:tcPr>
          <w:p>
            <w:pPr>
              <w:pStyle w:val="TableText"/>
              <w:spacing w:before="0" w:after="0" w:line="240" w:lineRule="auto"/>
              <w:ind w:left="0" w:right="0" w:firstLine="0"/>
              <w:jc w:val="left"/>
            </w:pPr>
            <w:r>
              <w:rPr>
                <w:lang w:val="en-US"/>
              </w:rPr>
              <w:t xml:space="preserve">[1]</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Plain-language answers can reduce confusion.</w:t>
            </w:r>
          </w:p>
        </w:tc>
        <w:tc>
          <w:tcPr>
            <w:tcW w:w="2257" w:type="dxa"/>
            <w:shd w:val="clear" w:color="auto" w:fill="F4F7FB"/>
          </w:tcPr>
          <w:p>
            <w:pPr>
              <w:pStyle w:val="TableText"/>
              <w:spacing w:before="0" w:after="0" w:line="240" w:lineRule="auto"/>
              <w:ind w:left="0" w:right="0" w:firstLine="0"/>
              <w:jc w:val="left"/>
            </w:pPr>
            <w:r>
              <w:rPr>
                <w:lang w:val="en-US"/>
              </w:rPr>
              <w:t xml:space="preserve">The FTC recommends anticipating questions and prominently publishing clear answers to common questions on the organization's website. It notes that good communication up front can limit concern and frustration. [1]</w:t>
            </w:r>
          </w:p>
        </w:tc>
        <w:tc>
          <w:tcPr>
            <w:tcW w:w="2256" w:type="dxa"/>
            <w:shd w:val="clear" w:color="auto" w:fill="F4F7FB"/>
          </w:tcPr>
          <w:p>
            <w:pPr>
              <w:pStyle w:val="TableText"/>
              <w:spacing w:before="0" w:after="0" w:line="240" w:lineRule="auto"/>
              <w:ind w:left="0" w:right="0" w:firstLine="0"/>
              <w:jc w:val="left"/>
            </w:pPr>
            <w:r>
              <w:rPr>
                <w:lang w:val="en-US"/>
              </w:rPr>
              <w:t xml:space="preserve">Prepare website information and customer support responses to improve consistency across channels.</w:t>
            </w:r>
          </w:p>
        </w:tc>
        <w:tc>
          <w:tcPr>
            <w:tcW w:w="2256" w:type="dxa"/>
            <w:shd w:val="clear" w:color="auto" w:fill="F4F7FB"/>
          </w:tcPr>
          <w:p>
            <w:pPr>
              <w:pStyle w:val="TableText"/>
              <w:spacing w:before="0" w:after="0" w:line="240" w:lineRule="auto"/>
              <w:ind w:left="0" w:right="0" w:firstLine="0"/>
              <w:jc w:val="left"/>
            </w:pPr>
            <w:r>
              <w:rPr>
                <w:lang w:val="en-US"/>
              </w:rPr>
              <w:t xml:space="preserve">[1]</w:t>
            </w:r>
          </w:p>
        </w:tc>
      </w:tr>
      <w:tr>
        <w:trPr>
          <w:cantSplit/>
        </w:trPr>
        <w:tc>
          <w:tcPr>
            <w:tcW w:w="2257" w:type="dxa"/>
          </w:tcPr>
          <w:p>
            <w:pPr>
              <w:pStyle w:val="TableText"/>
              <w:spacing w:before="0" w:after="0" w:line="240" w:lineRule="auto"/>
              <w:ind w:left="0" w:right="0" w:firstLine="0"/>
              <w:jc w:val="left"/>
            </w:pPr>
            <w:r>
              <w:rPr>
                <w:lang w:val="en-US"/>
              </w:rPr>
              <w:t xml:space="preserve">Legal duties depend on location and information type.</w:t>
            </w:r>
          </w:p>
        </w:tc>
        <w:tc>
          <w:tcPr>
            <w:tcW w:w="2257" w:type="dxa"/>
          </w:tcPr>
          <w:p>
            <w:pPr>
              <w:pStyle w:val="TableText"/>
              <w:spacing w:before="0" w:after="0" w:line="240" w:lineRule="auto"/>
              <w:ind w:left="0" w:right="0" w:firstLine="0"/>
              <w:jc w:val="left"/>
            </w:pPr>
            <w:r>
              <w:rPr>
                <w:lang w:val="en-US"/>
              </w:rPr>
              <w:t xml:space="preserve">The FTC states that most states, the District of Columbia, Puerto Rico, and the Virgin Islands have breach notification legislation involving personal information. Other laws or regulations may also apply. [1]</w:t>
            </w:r>
          </w:p>
        </w:tc>
        <w:tc>
          <w:tcPr>
            <w:tcW w:w="2256" w:type="dxa"/>
          </w:tcPr>
          <w:p>
            <w:pPr>
              <w:pStyle w:val="TableText"/>
              <w:spacing w:before="0" w:after="0" w:line="240" w:lineRule="auto"/>
              <w:ind w:left="0" w:right="0" w:firstLine="0"/>
              <w:jc w:val="left"/>
            </w:pPr>
            <w:r>
              <w:rPr>
                <w:lang w:val="en-US"/>
              </w:rPr>
              <w:t xml:space="preserve">Legal counsel should determine applicable notice requirements, including content, timing, regulators, and media obligations.</w:t>
            </w:r>
          </w:p>
        </w:tc>
        <w:tc>
          <w:tcPr>
            <w:tcW w:w="2256" w:type="dxa"/>
          </w:tcPr>
          <w:p>
            <w:pPr>
              <w:pStyle w:val="TableText"/>
              <w:spacing w:before="0" w:after="0" w:line="240" w:lineRule="auto"/>
              <w:ind w:left="0" w:right="0" w:firstLine="0"/>
              <w:jc w:val="left"/>
            </w:pPr>
            <w:r>
              <w:rPr>
                <w:lang w:val="en-US"/>
              </w:rPr>
              <w:t xml:space="preserve">[1]</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Contact law enforcement promptly and coordinate notices.</w:t>
            </w:r>
          </w:p>
        </w:tc>
        <w:tc>
          <w:tcPr>
            <w:tcW w:w="2257" w:type="dxa"/>
            <w:shd w:val="clear" w:color="auto" w:fill="F4F7FB"/>
          </w:tcPr>
          <w:p>
            <w:pPr>
              <w:pStyle w:val="TableText"/>
              <w:spacing w:before="0" w:after="0" w:line="240" w:lineRule="auto"/>
              <w:ind w:left="0" w:right="0" w:firstLine="0"/>
              <w:jc w:val="left"/>
            </w:pPr>
            <w:r>
              <w:rPr>
                <w:lang w:val="en-US"/>
              </w:rPr>
              <w:t xml:space="preserve">The FTC advises contacting local police immediately and consulting the law enforcement contact about notice timing so it does not impede the investigation. [1]</w:t>
            </w:r>
          </w:p>
        </w:tc>
        <w:tc>
          <w:tcPr>
            <w:tcW w:w="2256" w:type="dxa"/>
            <w:shd w:val="clear" w:color="auto" w:fill="F4F7FB"/>
          </w:tcPr>
          <w:p>
            <w:pPr>
              <w:pStyle w:val="TableText"/>
              <w:spacing w:before="0" w:after="0" w:line="240" w:lineRule="auto"/>
              <w:ind w:left="0" w:right="0" w:firstLine="0"/>
              <w:jc w:val="left"/>
            </w:pPr>
            <w:r>
              <w:rPr>
                <w:lang w:val="en-US"/>
              </w:rPr>
              <w:t xml:space="preserve">Designate a law enforcement liaison and document notification decisions.</w:t>
            </w:r>
          </w:p>
        </w:tc>
        <w:tc>
          <w:tcPr>
            <w:tcW w:w="2256" w:type="dxa"/>
            <w:shd w:val="clear" w:color="auto" w:fill="F4F7FB"/>
          </w:tcPr>
          <w:p>
            <w:pPr>
              <w:pStyle w:val="TableText"/>
              <w:spacing w:before="0" w:after="0" w:line="240" w:lineRule="auto"/>
              <w:ind w:left="0" w:right="0" w:firstLine="0"/>
              <w:jc w:val="left"/>
            </w:pPr>
            <w:r>
              <w:rPr>
                <w:lang w:val="en-US"/>
              </w:rPr>
              <w:t xml:space="preserve">[1]</w:t>
            </w:r>
          </w:p>
        </w:tc>
      </w:tr>
      <w:tr>
        <w:trPr>
          <w:cantSplit/>
        </w:trPr>
        <w:tc>
          <w:tcPr>
            <w:tcW w:w="2257" w:type="dxa"/>
          </w:tcPr>
          <w:p>
            <w:pPr>
              <w:pStyle w:val="TableText"/>
              <w:spacing w:before="0" w:after="0" w:line="240" w:lineRule="auto"/>
              <w:ind w:left="0" w:right="0" w:firstLine="0"/>
              <w:jc w:val="left"/>
            </w:pPr>
            <w:r>
              <w:rPr>
                <w:lang w:val="en-US"/>
              </w:rPr>
              <w:t xml:space="preserve">Affected businesses may need prompt notice.</w:t>
            </w:r>
          </w:p>
        </w:tc>
        <w:tc>
          <w:tcPr>
            <w:tcW w:w="2257" w:type="dxa"/>
          </w:tcPr>
          <w:p>
            <w:pPr>
              <w:pStyle w:val="TableText"/>
              <w:spacing w:before="0" w:after="0" w:line="240" w:lineRule="auto"/>
              <w:ind w:left="0" w:right="0" w:firstLine="0"/>
              <w:jc w:val="left"/>
            </w:pPr>
            <w:r>
              <w:rPr>
                <w:lang w:val="en-US"/>
              </w:rPr>
              <w:t xml:space="preserve">The FTC advises notifying financial institutions if account access information is stolen but the organization does not maintain the accounts. It also advises notifying businesses when personal information is collected or stored on their behalf. [1]</w:t>
            </w:r>
          </w:p>
        </w:tc>
        <w:tc>
          <w:tcPr>
            <w:tcW w:w="2256" w:type="dxa"/>
          </w:tcPr>
          <w:p>
            <w:pPr>
              <w:pStyle w:val="TableText"/>
              <w:spacing w:before="0" w:after="0" w:line="240" w:lineRule="auto"/>
              <w:ind w:left="0" w:right="0" w:firstLine="0"/>
              <w:jc w:val="left"/>
            </w:pPr>
            <w:r>
              <w:rPr>
                <w:lang w:val="en-US"/>
              </w:rPr>
              <w:t xml:space="preserve">Include contractual counterparties and account-maintaining institutions in stakeholder planning.</w:t>
            </w:r>
          </w:p>
        </w:tc>
        <w:tc>
          <w:tcPr>
            <w:tcW w:w="2256" w:type="dxa"/>
          </w:tcPr>
          <w:p>
            <w:pPr>
              <w:pStyle w:val="TableText"/>
              <w:spacing w:before="0" w:after="0" w:line="240" w:lineRule="auto"/>
              <w:ind w:left="0" w:right="0" w:firstLine="0"/>
              <w:jc w:val="left"/>
            </w:pPr>
            <w:r>
              <w:rPr>
                <w:lang w:val="en-US"/>
              </w:rPr>
              <w:t xml:space="preserve">[1]</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Individual notices should support protective action.</w:t>
            </w:r>
          </w:p>
        </w:tc>
        <w:tc>
          <w:tcPr>
            <w:tcW w:w="2257" w:type="dxa"/>
            <w:shd w:val="clear" w:color="auto" w:fill="F4F7FB"/>
          </w:tcPr>
          <w:p>
            <w:pPr>
              <w:pStyle w:val="TableText"/>
              <w:spacing w:before="0" w:after="0" w:line="240" w:lineRule="auto"/>
              <w:ind w:left="0" w:right="0" w:firstLine="0"/>
              <w:jc w:val="left"/>
            </w:pPr>
            <w:r>
              <w:rPr>
                <w:lang w:val="en-US"/>
              </w:rPr>
              <w:t xml:space="preserve">The FTC advises considering state laws, the nature of the compromise, the information taken, the likelihood of misuse, and potential damage when deciding whom and how to notify. [1]</w:t>
            </w:r>
          </w:p>
        </w:tc>
        <w:tc>
          <w:tcPr>
            <w:tcW w:w="2256" w:type="dxa"/>
            <w:shd w:val="clear" w:color="auto" w:fill="F4F7FB"/>
          </w:tcPr>
          <w:p>
            <w:pPr>
              <w:pStyle w:val="TableText"/>
              <w:spacing w:before="0" w:after="0" w:line="240" w:lineRule="auto"/>
              <w:ind w:left="0" w:right="0" w:firstLine="0"/>
              <w:jc w:val="left"/>
            </w:pPr>
            <w:r>
              <w:rPr>
                <w:lang w:val="en-US"/>
              </w:rPr>
              <w:t xml:space="preserve">Base notice scope on evidence and pair notices with practical steps relevant to the exposed information.</w:t>
            </w:r>
          </w:p>
        </w:tc>
        <w:tc>
          <w:tcPr>
            <w:tcW w:w="2256" w:type="dxa"/>
            <w:shd w:val="clear" w:color="auto" w:fill="F4F7FB"/>
          </w:tcPr>
          <w:p>
            <w:pPr>
              <w:pStyle w:val="TableText"/>
              <w:spacing w:before="0" w:after="0" w:line="240" w:lineRule="auto"/>
              <w:ind w:left="0" w:right="0" w:firstLine="0"/>
              <w:jc w:val="left"/>
            </w:pPr>
            <w:r>
              <w:rPr>
                <w:lang w:val="en-US"/>
              </w:rPr>
              <w:t xml:space="preserve">[1]</w:t>
            </w:r>
          </w:p>
        </w:tc>
      </w:tr>
      <w:tr>
        <w:trPr>
          <w:cantSplit/>
        </w:trPr>
        <w:tc>
          <w:tcPr>
            <w:tcW w:w="2257" w:type="dxa"/>
          </w:tcPr>
          <w:p>
            <w:pPr>
              <w:pStyle w:val="TableText"/>
              <w:spacing w:before="0" w:after="0" w:line="240" w:lineRule="auto"/>
              <w:ind w:left="0" w:right="0" w:firstLine="0"/>
              <w:jc w:val="left"/>
            </w:pPr>
            <w:r>
              <w:rPr>
                <w:lang w:val="en-US"/>
              </w:rPr>
              <w:t xml:space="preserve">Support services may be suitable for high-risk exposure.</w:t>
            </w:r>
          </w:p>
        </w:tc>
        <w:tc>
          <w:tcPr>
            <w:tcW w:w="2257" w:type="dxa"/>
          </w:tcPr>
          <w:p>
            <w:pPr>
              <w:pStyle w:val="TableText"/>
              <w:spacing w:before="0" w:after="0" w:line="240" w:lineRule="auto"/>
              <w:ind w:left="0" w:right="0" w:firstLine="0"/>
              <w:jc w:val="left"/>
            </w:pPr>
            <w:r>
              <w:rPr>
                <w:lang w:val="en-US"/>
              </w:rPr>
              <w:t xml:space="preserve">The FTC advises considering at least a year of free credit monitoring or identity theft protection or restoration services, particularly if financial information or Social Security numbers were exposed. [1]</w:t>
            </w:r>
          </w:p>
        </w:tc>
        <w:tc>
          <w:tcPr>
            <w:tcW w:w="2256" w:type="dxa"/>
          </w:tcPr>
          <w:p>
            <w:pPr>
              <w:pStyle w:val="TableText"/>
              <w:spacing w:before="0" w:after="0" w:line="240" w:lineRule="auto"/>
              <w:ind w:left="0" w:right="0" w:firstLine="0"/>
              <w:jc w:val="left"/>
            </w:pPr>
            <w:r>
              <w:rPr>
                <w:lang w:val="en-US"/>
              </w:rPr>
              <w:t xml:space="preserve">Prepare a support framework that can be activated when the facts and legal assessment support it.</w:t>
            </w:r>
          </w:p>
        </w:tc>
        <w:tc>
          <w:tcPr>
            <w:tcW w:w="2256" w:type="dxa"/>
          </w:tcPr>
          <w:p>
            <w:pPr>
              <w:pStyle w:val="TableText"/>
              <w:spacing w:before="0" w:after="0" w:line="240" w:lineRule="auto"/>
              <w:ind w:left="0" w:right="0" w:firstLine="0"/>
              <w:jc w:val="left"/>
            </w:pPr>
            <w:r>
              <w:rPr>
                <w:lang w:val="en-US"/>
              </w:rPr>
              <w:t xml:space="preserve">[1]</w:t>
            </w:r>
          </w:p>
        </w:tc>
      </w:tr>
    </w:tbl>
    <w:p>
      <w:pPr>
        <w:pStyle w:val="Normal"/>
      </w:pPr>
      <w:r>
        <w:rPr>
          <w:lang w:val="en-US"/>
        </w:rPr>
        <w:t xml:space="preserve">Together, these findings show that response quality depends on disciplined coordination. Technical isolation without evidence preservation can weaken an investigation. Notices issued without legal and law enforcement coordination can create avoidable risk. Communications based on unverified facts can undermine trust. An integrated response, by contrast, creates a clear record of action, supports affected people, and directs remediation toward the control gaps revealed by the incident. [1]</w:t>
      </w:r>
    </w:p>
    <w:p>
      <w:pPr>
        <w:pStyle w:val="Heading2"/>
        <w:outlineLvl w:val="1"/>
      </w:pPr>
      <w:r>
        <w:rPr>
          <w:lang w:val="en-US"/>
        </w:rPr>
        <w:t xml:space="preserve">Financial and Impact Model</w:t>
      </w:r>
    </w:p>
    <w:p>
      <w:pPr>
        <w:pStyle w:val="Normal"/>
      </w:pPr>
      <w:r>
        <w:rPr>
          <w:lang w:val="en-US"/>
        </w:rPr>
        <w:t xml:space="preserve">The source provides no estimates for incident costs, lost revenue, remediation pricing, customer attrition, or other monetary impacts. No financial forecast should be inferred from this guidance. Executives should instead use an impact and commitment model that identifies stated obligations and potential support commitments without presenting unsupported dollar values. [1]</w:t>
      </w:r>
    </w:p>
    <w:p>
      <w:pPr>
        <w:pStyle w:val="Normal"/>
      </w:pPr>
      <w:r>
        <w:rPr>
          <w:lang w:val="en-US"/>
        </w:rPr>
        <w:t xml:space="preserve">The only specific duration stated for a support offering is the FTC's recommendation to consider at least a year of free credit monitoring or related protection and restoration services. This is particularly relevant when financial information or Social Security numbers were exposed. The guidance does not make this a universal requirement. Consider the type of information involved, applicable law, likelihood of misuse, potential damage, and advice from legal counsel and law enforcement. [1]</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3009"/>
        <w:gridCol w:w="3009"/>
        <w:gridCol w:w="3008"/>
      </w:tblGrid>
      <w:tr>
        <w:trPr>
          <w:cantSplit/>
          <w:tblHeader/>
        </w:trPr>
        <w:tc>
          <w:tcPr>
            <w:tcW w:w="3009" w:type="dxa"/>
            <w:shd w:val="clear" w:color="auto" w:fill="0B2A5C"/>
          </w:tcPr>
          <w:p>
            <w:pPr>
              <w:pStyle w:val="TableHeading"/>
              <w:spacing w:before="0" w:after="0" w:line="240" w:lineRule="auto"/>
              <w:ind w:left="0" w:right="0" w:firstLine="0"/>
              <w:jc w:val="left"/>
            </w:pPr>
            <w:r>
              <w:rPr>
                <w:b/>
                <w:lang w:val="en-US"/>
              </w:rPr>
              <w:t xml:space="preserve">Driver or item</w:t>
            </w:r>
          </w:p>
        </w:tc>
        <w:tc>
          <w:tcPr>
            <w:tcW w:w="3009" w:type="dxa"/>
            <w:shd w:val="clear" w:color="auto" w:fill="0B2A5C"/>
          </w:tcPr>
          <w:p>
            <w:pPr>
              <w:pStyle w:val="TableHeading"/>
              <w:spacing w:before="0" w:after="0" w:line="240" w:lineRule="auto"/>
              <w:ind w:left="0" w:right="0" w:firstLine="0"/>
              <w:jc w:val="left"/>
            </w:pPr>
            <w:r>
              <w:rPr>
                <w:b/>
                <w:lang w:val="en-US"/>
              </w:rPr>
              <w:t xml:space="preserve">Amount or impact</w:t>
            </w:r>
          </w:p>
        </w:tc>
        <w:tc>
          <w:tcPr>
            <w:tcW w:w="3008" w:type="dxa"/>
            <w:shd w:val="clear" w:color="auto" w:fill="0B2A5C"/>
          </w:tcPr>
          <w:p>
            <w:pPr>
              <w:pStyle w:val="TableHeading"/>
              <w:spacing w:before="0" w:after="0" w:line="240" w:lineRule="auto"/>
              <w:ind w:left="0" w:right="0" w:firstLine="0"/>
              <w:jc w:val="left"/>
            </w:pPr>
            <w:r>
              <w:rPr>
                <w:b/>
                <w:lang w:val="en-US"/>
              </w:rPr>
              <w:t xml:space="preserve">Basis</w:t>
            </w:r>
          </w:p>
        </w:tc>
      </w:tr>
      <w:tr>
        <w:trPr>
          <w:cantSplit/>
        </w:trPr>
        <w:tc>
          <w:tcPr>
            <w:tcW w:w="3009" w:type="dxa"/>
          </w:tcPr>
          <w:p>
            <w:pPr>
              <w:pStyle w:val="TableText"/>
              <w:spacing w:before="0" w:after="0" w:line="240" w:lineRule="auto"/>
              <w:ind w:left="0" w:right="0" w:firstLine="0"/>
              <w:jc w:val="left"/>
            </w:pPr>
            <w:r>
              <w:rPr>
                <w:lang w:val="en-US"/>
              </w:rPr>
              <w:t xml:space="preserve">Free credit monitoring or related support</w:t>
            </w:r>
          </w:p>
        </w:tc>
        <w:tc>
          <w:tcPr>
            <w:tcW w:w="3009" w:type="dxa"/>
          </w:tcPr>
          <w:p>
            <w:pPr>
              <w:pStyle w:val="TableText"/>
              <w:spacing w:before="0" w:after="0" w:line="240" w:lineRule="auto"/>
              <w:ind w:left="0" w:right="0" w:firstLine="0"/>
              <w:jc w:val="left"/>
            </w:pPr>
            <w:r>
              <w:rPr>
                <w:lang w:val="en-US"/>
              </w:rPr>
              <w:t xml:space="preserve">1 year</w:t>
            </w:r>
          </w:p>
        </w:tc>
        <w:tc>
          <w:tcPr>
            <w:tcW w:w="3008" w:type="dxa"/>
          </w:tcPr>
          <w:p>
            <w:pPr>
              <w:pStyle w:val="TableText"/>
              <w:spacing w:before="0" w:after="0" w:line="240" w:lineRule="auto"/>
              <w:ind w:left="0" w:right="0" w:firstLine="0"/>
              <w:jc w:val="left"/>
            </w:pPr>
            <w:r>
              <w:rPr>
                <w:lang w:val="en-US"/>
              </w:rPr>
              <w:t xml:space="preserve">The FTC advises considering at least a year of free credit monitoring or other support, particularly if financial information or Social Security numbers were exposed. [1]</w:t>
            </w:r>
          </w:p>
        </w:tc>
      </w:tr>
    </w:tbl>
    <w:p>
      <w:pPr>
        <w:pStyle w:val="Normal"/>
      </w:pPr>
      <w:r>
        <w:rPr>
          <w:lang w:val="en-US"/>
        </w:rPr>
        <w:t xml:space="preserve">Read this duration as a support period described in the guidance, not as a cost estimate or complete remediation budget. Management should prepare a separate internal financial assessment after verifying affected systems, compromised information, the number of people affected, applicable legal duties, operational recovery needs, and any support services to be offered. The FTC advises verifying the types of information compromised, the number of people affected, and whether contact information is available for those people. [1]</w:t>
      </w:r>
    </w:p>
    <w:p>
      <w:pPr>
        <w:pStyle w:val="Normal"/>
      </w:pPr>
      <w:r>
        <w:rPr>
          <w:lang w:val="en-US"/>
        </w:rPr>
        <w:t xml:space="preserve">Nonfinancial impacts also matter. Effective communication can reduce customer concern and frustration, while the response may require coordination with employees, customers, investors, business partners, and other stakeholders. Operational work can include isolating systems, deploying clean machines where possible, changing credentials, restricting access, reviewing service providers, assessing segmentation, reviewing logs, and implementing forensic recommendations. [1]</w:t>
      </w:r>
    </w:p>
    <w:p>
      <w:pPr>
        <w:pStyle w:val="Heading2"/>
        <w:outlineLvl w:val="1"/>
      </w:pPr>
      <w:r>
        <w:rPr>
          <w:lang w:val="en-US"/>
        </w:rPr>
        <w:t xml:space="preserve">Options and Trade-offs</w:t>
      </w:r>
    </w:p>
    <w:p>
      <w:pPr>
        <w:pStyle w:val="Normal"/>
      </w:pPr>
      <w:r>
        <w:rPr>
          <w:lang w:val="en-US"/>
        </w:rPr>
        <w:t xml:space="preserve">These response choices are not always alternatives. The strongest approach combines rapid containment with evidence preservation, legal review, stakeholder preparation, and verified remediation. The trade-offs below reflect the FTC guidance. [1]</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2257"/>
        <w:gridCol w:w="2257"/>
        <w:gridCol w:w="2256"/>
        <w:gridCol w:w="2256"/>
      </w:tblGrid>
      <w:tr>
        <w:trPr>
          <w:cantSplit/>
          <w:tblHeader/>
        </w:trPr>
        <w:tc>
          <w:tcPr>
            <w:tcW w:w="2257" w:type="dxa"/>
            <w:shd w:val="clear" w:color="auto" w:fill="0B2A5C"/>
          </w:tcPr>
          <w:p>
            <w:pPr>
              <w:pStyle w:val="TableHeading"/>
              <w:spacing w:before="0" w:after="0" w:line="240" w:lineRule="auto"/>
              <w:ind w:left="0" w:right="0" w:firstLine="0"/>
              <w:jc w:val="left"/>
            </w:pPr>
            <w:r>
              <w:rPr>
                <w:b/>
                <w:lang w:val="en-US"/>
              </w:rPr>
              <w:t xml:space="preserve">Option</w:t>
            </w:r>
          </w:p>
        </w:tc>
        <w:tc>
          <w:tcPr>
            <w:tcW w:w="2257" w:type="dxa"/>
            <w:shd w:val="clear" w:color="auto" w:fill="0B2A5C"/>
          </w:tcPr>
          <w:p>
            <w:pPr>
              <w:pStyle w:val="TableHeading"/>
              <w:spacing w:before="0" w:after="0" w:line="240" w:lineRule="auto"/>
              <w:ind w:left="0" w:right="0" w:firstLine="0"/>
              <w:jc w:val="left"/>
            </w:pPr>
            <w:r>
              <w:rPr>
                <w:b/>
                <w:lang w:val="en-US"/>
              </w:rPr>
              <w:t xml:space="preserve">Upside</w:t>
            </w:r>
          </w:p>
        </w:tc>
        <w:tc>
          <w:tcPr>
            <w:tcW w:w="2256" w:type="dxa"/>
            <w:shd w:val="clear" w:color="auto" w:fill="0B2A5C"/>
          </w:tcPr>
          <w:p>
            <w:pPr>
              <w:pStyle w:val="TableHeading"/>
              <w:spacing w:before="0" w:after="0" w:line="240" w:lineRule="auto"/>
              <w:ind w:left="0" w:right="0" w:firstLine="0"/>
              <w:jc w:val="left"/>
            </w:pPr>
            <w:r>
              <w:rPr>
                <w:b/>
                <w:lang w:val="en-US"/>
              </w:rPr>
              <w:t xml:space="preserve">Downside</w:t>
            </w:r>
          </w:p>
        </w:tc>
        <w:tc>
          <w:tcPr>
            <w:tcW w:w="2256" w:type="dxa"/>
            <w:shd w:val="clear" w:color="auto" w:fill="0B2A5C"/>
          </w:tcPr>
          <w:p>
            <w:pPr>
              <w:pStyle w:val="TableHeading"/>
              <w:spacing w:before="0" w:after="0" w:line="240" w:lineRule="auto"/>
              <w:ind w:left="0" w:right="0" w:firstLine="0"/>
              <w:jc w:val="left"/>
            </w:pPr>
            <w:r>
              <w:rPr>
                <w:b/>
                <w:lang w:val="en-US"/>
              </w:rPr>
              <w:t xml:space="preserve">Decision factor</w:t>
            </w:r>
          </w:p>
        </w:tc>
      </w:tr>
      <w:tr>
        <w:trPr>
          <w:cantSplit/>
        </w:trPr>
        <w:tc>
          <w:tcPr>
            <w:tcW w:w="2257" w:type="dxa"/>
          </w:tcPr>
          <w:p>
            <w:pPr>
              <w:pStyle w:val="TableText"/>
              <w:spacing w:before="0" w:after="0" w:line="240" w:lineRule="auto"/>
              <w:ind w:left="0" w:right="0" w:firstLine="0"/>
              <w:jc w:val="left"/>
            </w:pPr>
            <w:r>
              <w:rPr>
                <w:lang w:val="en-US"/>
              </w:rPr>
              <w:t xml:space="preserve">Isolate affected equipment while preserving it for forensic review.</w:t>
            </w:r>
          </w:p>
        </w:tc>
        <w:tc>
          <w:tcPr>
            <w:tcW w:w="2257" w:type="dxa"/>
          </w:tcPr>
          <w:p>
            <w:pPr>
              <w:pStyle w:val="TableText"/>
              <w:spacing w:before="0" w:after="0" w:line="240" w:lineRule="auto"/>
              <w:ind w:left="0" w:right="0" w:firstLine="0"/>
              <w:jc w:val="left"/>
            </w:pPr>
            <w:r>
              <w:rPr>
                <w:lang w:val="en-US"/>
              </w:rPr>
              <w:t xml:space="preserve">Can stop additional data loss while preserving evidence needed to determine the source and scope. [1]</w:t>
            </w:r>
          </w:p>
        </w:tc>
        <w:tc>
          <w:tcPr>
            <w:tcW w:w="2256" w:type="dxa"/>
          </w:tcPr>
          <w:p>
            <w:pPr>
              <w:pStyle w:val="TableText"/>
              <w:spacing w:before="0" w:after="0" w:line="240" w:lineRule="auto"/>
              <w:ind w:left="0" w:right="0" w:firstLine="0"/>
              <w:jc w:val="left"/>
            </w:pPr>
            <w:r>
              <w:rPr>
                <w:lang w:val="en-US"/>
              </w:rPr>
              <w:t xml:space="preserve">May disrupt normal operations and requires careful handling of affected equipment. [1]</w:t>
            </w:r>
          </w:p>
        </w:tc>
        <w:tc>
          <w:tcPr>
            <w:tcW w:w="2256" w:type="dxa"/>
          </w:tcPr>
          <w:p>
            <w:pPr>
              <w:pStyle w:val="TableText"/>
              <w:spacing w:before="0" w:after="0" w:line="240" w:lineRule="auto"/>
              <w:ind w:left="0" w:right="0" w:firstLine="0"/>
              <w:jc w:val="left"/>
            </w:pPr>
            <w:r>
              <w:rPr>
                <w:lang w:val="en-US"/>
              </w:rPr>
              <w:t xml:space="preserve">The FTC advises taking affected equipment offline immediately but not turning machines off before forensic experts arrive. [1]</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Use independent forensic investigators.</w:t>
            </w:r>
          </w:p>
        </w:tc>
        <w:tc>
          <w:tcPr>
            <w:tcW w:w="2257" w:type="dxa"/>
            <w:shd w:val="clear" w:color="auto" w:fill="F4F7FB"/>
          </w:tcPr>
          <w:p>
            <w:pPr>
              <w:pStyle w:val="TableText"/>
              <w:spacing w:before="0" w:after="0" w:line="240" w:lineRule="auto"/>
              <w:ind w:left="0" w:right="0" w:firstLine="0"/>
              <w:jc w:val="left"/>
            </w:pPr>
            <w:r>
              <w:rPr>
                <w:lang w:val="en-US"/>
              </w:rPr>
              <w:t xml:space="preserve">Can support evidence collection, forensic imaging, analysis, source and scope assessment, and remediation recommendations. [1]</w:t>
            </w:r>
          </w:p>
        </w:tc>
        <w:tc>
          <w:tcPr>
            <w:tcW w:w="2256" w:type="dxa"/>
            <w:shd w:val="clear" w:color="auto" w:fill="F4F7FB"/>
          </w:tcPr>
          <w:p>
            <w:pPr>
              <w:pStyle w:val="TableText"/>
              <w:spacing w:before="0" w:after="0" w:line="240" w:lineRule="auto"/>
              <w:ind w:left="0" w:right="0" w:firstLine="0"/>
              <w:jc w:val="left"/>
            </w:pPr>
            <w:r>
              <w:rPr>
                <w:lang w:val="en-US"/>
              </w:rPr>
              <w:t xml:space="preserve">Requires coordination with internal teams and may affect the pace of operational decisions.</w:t>
            </w:r>
          </w:p>
        </w:tc>
        <w:tc>
          <w:tcPr>
            <w:tcW w:w="2256" w:type="dxa"/>
            <w:shd w:val="clear" w:color="auto" w:fill="F4F7FB"/>
          </w:tcPr>
          <w:p>
            <w:pPr>
              <w:pStyle w:val="TableText"/>
              <w:spacing w:before="0" w:after="0" w:line="240" w:lineRule="auto"/>
              <w:ind w:left="0" w:right="0" w:firstLine="0"/>
              <w:jc w:val="left"/>
            </w:pPr>
            <w:r>
              <w:rPr>
                <w:lang w:val="en-US"/>
              </w:rPr>
              <w:t xml:space="preserve">Consider independent investigation when it can improve confidence in the facts and remediation approach. [1]</w:t>
            </w:r>
          </w:p>
        </w:tc>
      </w:tr>
      <w:tr>
        <w:trPr>
          <w:cantSplit/>
        </w:trPr>
        <w:tc>
          <w:tcPr>
            <w:tcW w:w="2257" w:type="dxa"/>
          </w:tcPr>
          <w:p>
            <w:pPr>
              <w:pStyle w:val="TableText"/>
              <w:spacing w:before="0" w:after="0" w:line="240" w:lineRule="auto"/>
              <w:ind w:left="0" w:right="0" w:firstLine="0"/>
              <w:jc w:val="left"/>
            </w:pPr>
            <w:r>
              <w:rPr>
                <w:lang w:val="en-US"/>
              </w:rPr>
              <w:t xml:space="preserve">Replace affected systems with clean machines where possible.</w:t>
            </w:r>
          </w:p>
        </w:tc>
        <w:tc>
          <w:tcPr>
            <w:tcW w:w="2257" w:type="dxa"/>
          </w:tcPr>
          <w:p>
            <w:pPr>
              <w:pStyle w:val="TableText"/>
              <w:spacing w:before="0" w:after="0" w:line="240" w:lineRule="auto"/>
              <w:ind w:left="0" w:right="0" w:firstLine="0"/>
              <w:jc w:val="left"/>
            </w:pPr>
            <w:r>
              <w:rPr>
                <w:lang w:val="en-US"/>
              </w:rPr>
              <w:t xml:space="preserve">May support continuity while compromised equipment remains under investigation. [1]</w:t>
            </w:r>
          </w:p>
        </w:tc>
        <w:tc>
          <w:tcPr>
            <w:tcW w:w="2256" w:type="dxa"/>
          </w:tcPr>
          <w:p>
            <w:pPr>
              <w:pStyle w:val="TableText"/>
              <w:spacing w:before="0" w:after="0" w:line="240" w:lineRule="auto"/>
              <w:ind w:left="0" w:right="0" w:firstLine="0"/>
              <w:jc w:val="left"/>
            </w:pPr>
            <w:r>
              <w:rPr>
                <w:lang w:val="en-US"/>
              </w:rPr>
              <w:t xml:space="preserve">Does not replace the need to change credentials, review access, and fix underlying vulnerabilities. [1]</w:t>
            </w:r>
          </w:p>
        </w:tc>
        <w:tc>
          <w:tcPr>
            <w:tcW w:w="2256" w:type="dxa"/>
          </w:tcPr>
          <w:p>
            <w:pPr>
              <w:pStyle w:val="TableText"/>
              <w:spacing w:before="0" w:after="0" w:line="240" w:lineRule="auto"/>
              <w:ind w:left="0" w:right="0" w:firstLine="0"/>
              <w:jc w:val="left"/>
            </w:pPr>
            <w:r>
              <w:rPr>
                <w:lang w:val="en-US"/>
              </w:rPr>
              <w:t xml:space="preserve">Use when clean systems can be deployed safely without compromising evidence or extending exposure.</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Notify affected individuals after legal and law enforcement coordination.</w:t>
            </w:r>
          </w:p>
        </w:tc>
        <w:tc>
          <w:tcPr>
            <w:tcW w:w="2257" w:type="dxa"/>
            <w:shd w:val="clear" w:color="auto" w:fill="F4F7FB"/>
          </w:tcPr>
          <w:p>
            <w:pPr>
              <w:pStyle w:val="TableText"/>
              <w:spacing w:before="0" w:after="0" w:line="240" w:lineRule="auto"/>
              <w:ind w:left="0" w:right="0" w:firstLine="0"/>
              <w:jc w:val="left"/>
            </w:pPr>
            <w:r>
              <w:rPr>
                <w:lang w:val="en-US"/>
              </w:rPr>
              <w:t xml:space="preserve">Helps people take steps that may reduce misuse of their information. [1]</w:t>
            </w:r>
          </w:p>
        </w:tc>
        <w:tc>
          <w:tcPr>
            <w:tcW w:w="2256" w:type="dxa"/>
            <w:shd w:val="clear" w:color="auto" w:fill="F4F7FB"/>
          </w:tcPr>
          <w:p>
            <w:pPr>
              <w:pStyle w:val="TableText"/>
              <w:spacing w:before="0" w:after="0" w:line="240" w:lineRule="auto"/>
              <w:ind w:left="0" w:right="0" w:firstLine="0"/>
              <w:jc w:val="left"/>
            </w:pPr>
            <w:r>
              <w:rPr>
                <w:lang w:val="en-US"/>
              </w:rPr>
              <w:t xml:space="preserve">Premature or incomplete notice may impede an investigation or create confusion while important facts remain unverified. [1]</w:t>
            </w:r>
          </w:p>
        </w:tc>
        <w:tc>
          <w:tcPr>
            <w:tcW w:w="2256" w:type="dxa"/>
            <w:shd w:val="clear" w:color="auto" w:fill="F4F7FB"/>
          </w:tcPr>
          <w:p>
            <w:pPr>
              <w:pStyle w:val="TableText"/>
              <w:spacing w:before="0" w:after="0" w:line="240" w:lineRule="auto"/>
              <w:ind w:left="0" w:right="0" w:firstLine="0"/>
              <w:jc w:val="left"/>
            </w:pPr>
            <w:r>
              <w:rPr>
                <w:lang w:val="en-US"/>
              </w:rPr>
              <w:t xml:space="preserve">Consider applicable laws, the compromise, information taken, misuse risk, potential damage, and law enforcement advice. [1]</w:t>
            </w:r>
          </w:p>
        </w:tc>
      </w:tr>
      <w:tr>
        <w:trPr>
          <w:cantSplit/>
        </w:trPr>
        <w:tc>
          <w:tcPr>
            <w:tcW w:w="2257" w:type="dxa"/>
          </w:tcPr>
          <w:p>
            <w:pPr>
              <w:pStyle w:val="TableText"/>
              <w:spacing w:before="0" w:after="0" w:line="240" w:lineRule="auto"/>
              <w:ind w:left="0" w:right="0" w:firstLine="0"/>
              <w:jc w:val="left"/>
            </w:pPr>
            <w:r>
              <w:rPr>
                <w:lang w:val="en-US"/>
              </w:rPr>
              <w:t xml:space="preserve">Offer credit monitoring, identity theft protection, or restoration support.</w:t>
            </w:r>
          </w:p>
        </w:tc>
        <w:tc>
          <w:tcPr>
            <w:tcW w:w="2257" w:type="dxa"/>
          </w:tcPr>
          <w:p>
            <w:pPr>
              <w:pStyle w:val="TableText"/>
              <w:spacing w:before="0" w:after="0" w:line="240" w:lineRule="auto"/>
              <w:ind w:left="0" w:right="0" w:firstLine="0"/>
              <w:jc w:val="left"/>
            </w:pPr>
            <w:r>
              <w:rPr>
                <w:lang w:val="en-US"/>
              </w:rPr>
              <w:t xml:space="preserve">Provides practical help, particularly if financial information or Social Security numbers were exposed. [1]</w:t>
            </w:r>
          </w:p>
        </w:tc>
        <w:tc>
          <w:tcPr>
            <w:tcW w:w="2256" w:type="dxa"/>
          </w:tcPr>
          <w:p>
            <w:pPr>
              <w:pStyle w:val="TableText"/>
              <w:spacing w:before="0" w:after="0" w:line="240" w:lineRule="auto"/>
              <w:ind w:left="0" w:right="0" w:firstLine="0"/>
              <w:jc w:val="left"/>
            </w:pPr>
            <w:r>
              <w:rPr>
                <w:lang w:val="en-US"/>
              </w:rPr>
              <w:t xml:space="preserve">May not be necessary for every incident; match the offer to the information exposed and legal assessment.</w:t>
            </w:r>
          </w:p>
        </w:tc>
        <w:tc>
          <w:tcPr>
            <w:tcW w:w="2256" w:type="dxa"/>
          </w:tcPr>
          <w:p>
            <w:pPr>
              <w:pStyle w:val="TableText"/>
              <w:spacing w:before="0" w:after="0" w:line="240" w:lineRule="auto"/>
              <w:ind w:left="0" w:right="0" w:firstLine="0"/>
              <w:jc w:val="left"/>
            </w:pPr>
            <w:r>
              <w:rPr>
                <w:lang w:val="en-US"/>
              </w:rPr>
              <w:t xml:space="preserve">The FTC advises considering at least a year of free support in higher-risk circumstances. [1]</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Use broad public communications when direct contact information is incomplete.</w:t>
            </w:r>
          </w:p>
        </w:tc>
        <w:tc>
          <w:tcPr>
            <w:tcW w:w="2257" w:type="dxa"/>
            <w:shd w:val="clear" w:color="auto" w:fill="F4F7FB"/>
          </w:tcPr>
          <w:p>
            <w:pPr>
              <w:pStyle w:val="TableText"/>
              <w:spacing w:before="0" w:after="0" w:line="240" w:lineRule="auto"/>
              <w:ind w:left="0" w:right="0" w:firstLine="0"/>
              <w:jc w:val="left"/>
            </w:pPr>
            <w:r>
              <w:rPr>
                <w:lang w:val="en-US"/>
              </w:rPr>
              <w:t xml:space="preserve">May help reach affected people who cannot be contacted directly. [1]</w:t>
            </w:r>
          </w:p>
        </w:tc>
        <w:tc>
          <w:tcPr>
            <w:tcW w:w="2256" w:type="dxa"/>
            <w:shd w:val="clear" w:color="auto" w:fill="F4F7FB"/>
          </w:tcPr>
          <w:p>
            <w:pPr>
              <w:pStyle w:val="TableText"/>
              <w:spacing w:before="0" w:after="0" w:line="240" w:lineRule="auto"/>
              <w:ind w:left="0" w:right="0" w:firstLine="0"/>
              <w:jc w:val="left"/>
            </w:pPr>
            <w:r>
              <w:rPr>
                <w:lang w:val="en-US"/>
              </w:rPr>
              <w:t xml:space="preserve">Requires careful message control to avoid misleading claims or disclosures that increase consumer risk. [1]</w:t>
            </w:r>
          </w:p>
        </w:tc>
        <w:tc>
          <w:tcPr>
            <w:tcW w:w="2256" w:type="dxa"/>
            <w:shd w:val="clear" w:color="auto" w:fill="F4F7FB"/>
          </w:tcPr>
          <w:p>
            <w:pPr>
              <w:pStyle w:val="TableText"/>
              <w:spacing w:before="0" w:after="0" w:line="240" w:lineRule="auto"/>
              <w:ind w:left="0" w:right="0" w:firstLine="0"/>
              <w:jc w:val="left"/>
            </w:pPr>
            <w:r>
              <w:rPr>
                <w:lang w:val="en-US"/>
              </w:rPr>
              <w:t xml:space="preserve">The FTC identifies press releases and other news media notices as possible parts of a public relations campaign. [1]</w:t>
            </w:r>
          </w:p>
        </w:tc>
      </w:tr>
      <w:tr>
        <w:trPr>
          <w:cantSplit/>
        </w:trPr>
        <w:tc>
          <w:tcPr>
            <w:tcW w:w="2257" w:type="dxa"/>
          </w:tcPr>
          <w:p>
            <w:pPr>
              <w:pStyle w:val="TableText"/>
              <w:spacing w:before="0" w:after="0" w:line="240" w:lineRule="auto"/>
              <w:ind w:left="0" w:right="0" w:firstLine="0"/>
              <w:jc w:val="left"/>
            </w:pPr>
            <w:r>
              <w:rPr>
                <w:lang w:val="en-US"/>
              </w:rPr>
              <w:t xml:space="preserve">Restrict or change service provider access.</w:t>
            </w:r>
          </w:p>
        </w:tc>
        <w:tc>
          <w:tcPr>
            <w:tcW w:w="2257" w:type="dxa"/>
          </w:tcPr>
          <w:p>
            <w:pPr>
              <w:pStyle w:val="TableText"/>
              <w:spacing w:before="0" w:after="0" w:line="240" w:lineRule="auto"/>
              <w:ind w:left="0" w:right="0" w:firstLine="0"/>
              <w:jc w:val="left"/>
            </w:pPr>
            <w:r>
              <w:rPr>
                <w:lang w:val="en-US"/>
              </w:rPr>
              <w:t xml:space="preserve">Can reduce ongoing exposure and reinforce accountability for third-party remediation. [1]</w:t>
            </w:r>
          </w:p>
        </w:tc>
        <w:tc>
          <w:tcPr>
            <w:tcW w:w="2256" w:type="dxa"/>
          </w:tcPr>
          <w:p>
            <w:pPr>
              <w:pStyle w:val="TableText"/>
              <w:spacing w:before="0" w:after="0" w:line="240" w:lineRule="auto"/>
              <w:ind w:left="0" w:right="0" w:firstLine="0"/>
              <w:jc w:val="left"/>
            </w:pPr>
            <w:r>
              <w:rPr>
                <w:lang w:val="en-US"/>
              </w:rPr>
              <w:t xml:space="preserve">May affect service delivery if access changes are not coordinated with operations.</w:t>
            </w:r>
          </w:p>
        </w:tc>
        <w:tc>
          <w:tcPr>
            <w:tcW w:w="2256" w:type="dxa"/>
          </w:tcPr>
          <w:p>
            <w:pPr>
              <w:pStyle w:val="TableText"/>
              <w:spacing w:before="0" w:after="0" w:line="240" w:lineRule="auto"/>
              <w:ind w:left="0" w:right="0" w:firstLine="0"/>
              <w:jc w:val="left"/>
            </w:pPr>
            <w:r>
              <w:rPr>
                <w:lang w:val="en-US"/>
              </w:rPr>
              <w:t xml:space="preserve">Determine what information the provider can access and verify that remediation is complete. [1]</w:t>
            </w:r>
          </w:p>
        </w:tc>
      </w:tr>
    </w:tbl>
    <w:p>
      <w:pPr>
        <w:pStyle w:val="Normal"/>
      </w:pPr>
      <w:r>
        <w:rPr>
          <w:lang w:val="en-US"/>
        </w:rPr>
        <w:t xml:space="preserve">The central trade-off is speed versus certainty. The guidance offers a practical way to manage both: act quickly to prevent further loss while preserving evidence and coordinating disclosure decisions with legal counsel and law enforcement. Do not treat investigation, containment, and stakeholder preparation as tasks that must happen one after another. They can progress in parallel under clear ownership. [1]</w:t>
      </w:r>
    </w:p>
    <w:p>
      <w:pPr>
        <w:pStyle w:val="Heading2"/>
        <w:outlineLvl w:val="1"/>
      </w:pPr>
      <w:r>
        <w:rPr>
          <w:lang w:val="en-US"/>
        </w:rPr>
        <w:t xml:space="preserve">Risks and Mitigations</w:t>
      </w:r>
    </w:p>
    <w:p>
      <w:pPr>
        <w:pStyle w:val="Normal"/>
      </w:pPr>
      <w:r>
        <w:rPr>
          <w:lang w:val="en-US"/>
        </w:rPr>
        <w:t xml:space="preserve">The main risks are further data loss, weakened evidence, incomplete remediation, noncompliant notification, and communications that mislead stakeholders or expose them to additional risk. The following mitigations are based on the FTC's response guidance. [1]</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2257"/>
        <w:gridCol w:w="2257"/>
        <w:gridCol w:w="2256"/>
        <w:gridCol w:w="2256"/>
      </w:tblGrid>
      <w:tr>
        <w:trPr>
          <w:cantSplit/>
          <w:tblHeader/>
        </w:trPr>
        <w:tc>
          <w:tcPr>
            <w:tcW w:w="2257" w:type="dxa"/>
            <w:shd w:val="clear" w:color="auto" w:fill="0B2A5C"/>
          </w:tcPr>
          <w:p>
            <w:pPr>
              <w:pStyle w:val="TableHeading"/>
              <w:spacing w:before="0" w:after="0" w:line="240" w:lineRule="auto"/>
              <w:ind w:left="0" w:right="0" w:firstLine="0"/>
              <w:jc w:val="left"/>
            </w:pPr>
            <w:r>
              <w:rPr>
                <w:b/>
                <w:lang w:val="en-US"/>
              </w:rPr>
              <w:t xml:space="preserve">Risk</w:t>
            </w:r>
          </w:p>
        </w:tc>
        <w:tc>
          <w:tcPr>
            <w:tcW w:w="2257" w:type="dxa"/>
            <w:shd w:val="clear" w:color="auto" w:fill="0B2A5C"/>
          </w:tcPr>
          <w:p>
            <w:pPr>
              <w:pStyle w:val="TableHeading"/>
              <w:spacing w:before="0" w:after="0" w:line="240" w:lineRule="auto"/>
              <w:ind w:left="0" w:right="0" w:firstLine="0"/>
              <w:jc w:val="left"/>
            </w:pPr>
            <w:r>
              <w:rPr>
                <w:b/>
                <w:lang w:val="en-US"/>
              </w:rPr>
              <w:t xml:space="preserve">Impact</w:t>
            </w:r>
          </w:p>
        </w:tc>
        <w:tc>
          <w:tcPr>
            <w:tcW w:w="2256" w:type="dxa"/>
            <w:shd w:val="clear" w:color="auto" w:fill="0B2A5C"/>
          </w:tcPr>
          <w:p>
            <w:pPr>
              <w:pStyle w:val="TableHeading"/>
              <w:spacing w:before="0" w:after="0" w:line="240" w:lineRule="auto"/>
              <w:ind w:left="0" w:right="0" w:firstLine="0"/>
              <w:jc w:val="left"/>
            </w:pPr>
            <w:r>
              <w:rPr>
                <w:b/>
                <w:lang w:val="en-US"/>
              </w:rPr>
              <w:t xml:space="preserve">Mitigation</w:t>
            </w:r>
          </w:p>
        </w:tc>
        <w:tc>
          <w:tcPr>
            <w:tcW w:w="2256" w:type="dxa"/>
            <w:shd w:val="clear" w:color="auto" w:fill="0B2A5C"/>
          </w:tcPr>
          <w:p>
            <w:pPr>
              <w:pStyle w:val="TableHeading"/>
              <w:spacing w:before="0" w:after="0" w:line="240" w:lineRule="auto"/>
              <w:ind w:left="0" w:right="0" w:firstLine="0"/>
              <w:jc w:val="left"/>
            </w:pPr>
            <w:r>
              <w:rPr>
                <w:b/>
                <w:lang w:val="en-US"/>
              </w:rPr>
              <w:t xml:space="preserve">Owner or note</w:t>
            </w:r>
          </w:p>
        </w:tc>
      </w:tr>
      <w:tr>
        <w:trPr>
          <w:cantSplit/>
        </w:trPr>
        <w:tc>
          <w:tcPr>
            <w:tcW w:w="2257" w:type="dxa"/>
          </w:tcPr>
          <w:p>
            <w:pPr>
              <w:pStyle w:val="TableText"/>
              <w:spacing w:before="0" w:after="0" w:line="240" w:lineRule="auto"/>
              <w:ind w:left="0" w:right="0" w:firstLine="0"/>
              <w:jc w:val="left"/>
            </w:pPr>
            <w:r>
              <w:rPr>
                <w:lang w:val="en-US"/>
              </w:rPr>
              <w:t xml:space="preserve">Additional data loss after discovery.</w:t>
            </w:r>
          </w:p>
        </w:tc>
        <w:tc>
          <w:tcPr>
            <w:tcW w:w="2257" w:type="dxa"/>
          </w:tcPr>
          <w:p>
            <w:pPr>
              <w:pStyle w:val="TableText"/>
              <w:spacing w:before="0" w:after="0" w:line="240" w:lineRule="auto"/>
              <w:ind w:left="0" w:right="0" w:firstLine="0"/>
              <w:jc w:val="left"/>
            </w:pPr>
            <w:r>
              <w:rPr>
                <w:lang w:val="en-US"/>
              </w:rPr>
              <w:t xml:space="preserve">A continuing compromise can expand the information and population affected. [1]</w:t>
            </w:r>
          </w:p>
        </w:tc>
        <w:tc>
          <w:tcPr>
            <w:tcW w:w="2256" w:type="dxa"/>
          </w:tcPr>
          <w:p>
            <w:pPr>
              <w:pStyle w:val="TableText"/>
              <w:spacing w:before="0" w:after="0" w:line="240" w:lineRule="auto"/>
              <w:ind w:left="0" w:right="0" w:firstLine="0"/>
              <w:jc w:val="left"/>
            </w:pPr>
            <w:r>
              <w:rPr>
                <w:lang w:val="en-US"/>
              </w:rPr>
              <w:t xml:space="preserve">Mobilize the response team, take affected equipment offline, monitor entry and exit points, and update credentials and passwords. [1]</w:t>
            </w:r>
          </w:p>
        </w:tc>
        <w:tc>
          <w:tcPr>
            <w:tcW w:w="2256" w:type="dxa"/>
          </w:tcPr>
          <w:p>
            <w:pPr>
              <w:pStyle w:val="TableText"/>
              <w:spacing w:before="0" w:after="0" w:line="240" w:lineRule="auto"/>
              <w:ind w:left="0" w:right="0" w:firstLine="0"/>
              <w:jc w:val="left"/>
            </w:pPr>
            <w:r>
              <w:rPr>
                <w:lang w:val="en-US"/>
              </w:rPr>
              <w:t xml:space="preserve">Information security and incident leadership.</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Destruction or alteration of forensic evidence.</w:t>
            </w:r>
          </w:p>
        </w:tc>
        <w:tc>
          <w:tcPr>
            <w:tcW w:w="2257" w:type="dxa"/>
            <w:shd w:val="clear" w:color="auto" w:fill="F4F7FB"/>
          </w:tcPr>
          <w:p>
            <w:pPr>
              <w:pStyle w:val="TableText"/>
              <w:spacing w:before="0" w:after="0" w:line="240" w:lineRule="auto"/>
              <w:ind w:left="0" w:right="0" w:firstLine="0"/>
              <w:jc w:val="left"/>
            </w:pPr>
            <w:r>
              <w:rPr>
                <w:lang w:val="en-US"/>
              </w:rPr>
              <w:t xml:space="preserve">May hinder analysis of the breach source, scope, and needed remediation. [1]</w:t>
            </w:r>
          </w:p>
        </w:tc>
        <w:tc>
          <w:tcPr>
            <w:tcW w:w="2256" w:type="dxa"/>
            <w:shd w:val="clear" w:color="auto" w:fill="F4F7FB"/>
          </w:tcPr>
          <w:p>
            <w:pPr>
              <w:pStyle w:val="TableText"/>
              <w:spacing w:before="0" w:after="0" w:line="240" w:lineRule="auto"/>
              <w:ind w:left="0" w:right="0" w:firstLine="0"/>
              <w:jc w:val="left"/>
            </w:pPr>
            <w:r>
              <w:rPr>
                <w:lang w:val="en-US"/>
              </w:rPr>
              <w:t xml:space="preserve">Do not destroy evidence; preserve systems and do not turn affected machines off before forensic experts arrive. [1]</w:t>
            </w:r>
          </w:p>
        </w:tc>
        <w:tc>
          <w:tcPr>
            <w:tcW w:w="2256" w:type="dxa"/>
            <w:shd w:val="clear" w:color="auto" w:fill="F4F7FB"/>
          </w:tcPr>
          <w:p>
            <w:pPr>
              <w:pStyle w:val="TableText"/>
              <w:spacing w:before="0" w:after="0" w:line="240" w:lineRule="auto"/>
              <w:ind w:left="0" w:right="0" w:firstLine="0"/>
              <w:jc w:val="left"/>
            </w:pPr>
            <w:r>
              <w:rPr>
                <w:lang w:val="en-US"/>
              </w:rPr>
              <w:t xml:space="preserve">Forensics and information technology.</w:t>
            </w:r>
          </w:p>
        </w:tc>
      </w:tr>
      <w:tr>
        <w:trPr>
          <w:cantSplit/>
        </w:trPr>
        <w:tc>
          <w:tcPr>
            <w:tcW w:w="2257" w:type="dxa"/>
          </w:tcPr>
          <w:p>
            <w:pPr>
              <w:pStyle w:val="TableText"/>
              <w:spacing w:before="0" w:after="0" w:line="240" w:lineRule="auto"/>
              <w:ind w:left="0" w:right="0" w:firstLine="0"/>
              <w:jc w:val="left"/>
            </w:pPr>
            <w:r>
              <w:rPr>
                <w:lang w:val="en-US"/>
              </w:rPr>
              <w:t xml:space="preserve">Unfixed third-party weaknesses.</w:t>
            </w:r>
          </w:p>
        </w:tc>
        <w:tc>
          <w:tcPr>
            <w:tcW w:w="2257" w:type="dxa"/>
          </w:tcPr>
          <w:p>
            <w:pPr>
              <w:pStyle w:val="TableText"/>
              <w:spacing w:before="0" w:after="0" w:line="240" w:lineRule="auto"/>
              <w:ind w:left="0" w:right="0" w:firstLine="0"/>
              <w:jc w:val="left"/>
            </w:pPr>
            <w:r>
              <w:rPr>
                <w:lang w:val="en-US"/>
              </w:rPr>
              <w:t xml:space="preserve">Service provider access could permit recurring exposure. [1]</w:t>
            </w:r>
          </w:p>
        </w:tc>
        <w:tc>
          <w:tcPr>
            <w:tcW w:w="2256" w:type="dxa"/>
          </w:tcPr>
          <w:p>
            <w:pPr>
              <w:pStyle w:val="TableText"/>
              <w:spacing w:before="0" w:after="0" w:line="240" w:lineRule="auto"/>
              <w:ind w:left="0" w:right="0" w:firstLine="0"/>
              <w:jc w:val="left"/>
            </w:pPr>
            <w:r>
              <w:rPr>
                <w:lang w:val="en-US"/>
              </w:rPr>
              <w:t xml:space="preserve">Review provider access privileges and verify that claimed fixes are effective. [1]</w:t>
            </w:r>
          </w:p>
        </w:tc>
        <w:tc>
          <w:tcPr>
            <w:tcW w:w="2256" w:type="dxa"/>
          </w:tcPr>
          <w:p>
            <w:pPr>
              <w:pStyle w:val="TableText"/>
              <w:spacing w:before="0" w:after="0" w:line="240" w:lineRule="auto"/>
              <w:ind w:left="0" w:right="0" w:firstLine="0"/>
              <w:jc w:val="left"/>
            </w:pPr>
            <w:r>
              <w:rPr>
                <w:lang w:val="en-US"/>
              </w:rPr>
              <w:t xml:space="preserve">Vendor management, legal, and information security.</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Weak segmentation and inadequate containment.</w:t>
            </w:r>
          </w:p>
        </w:tc>
        <w:tc>
          <w:tcPr>
            <w:tcW w:w="2257" w:type="dxa"/>
            <w:shd w:val="clear" w:color="auto" w:fill="F4F7FB"/>
          </w:tcPr>
          <w:p>
            <w:pPr>
              <w:pStyle w:val="TableText"/>
              <w:spacing w:before="0" w:after="0" w:line="240" w:lineRule="auto"/>
              <w:ind w:left="0" w:right="0" w:firstLine="0"/>
              <w:jc w:val="left"/>
            </w:pPr>
            <w:r>
              <w:rPr>
                <w:lang w:val="en-US"/>
              </w:rPr>
              <w:t xml:space="preserve">A breach on one server or site may lead to a breach on another. [1]</w:t>
            </w:r>
          </w:p>
        </w:tc>
        <w:tc>
          <w:tcPr>
            <w:tcW w:w="2256" w:type="dxa"/>
            <w:shd w:val="clear" w:color="auto" w:fill="F4F7FB"/>
          </w:tcPr>
          <w:p>
            <w:pPr>
              <w:pStyle w:val="TableText"/>
              <w:spacing w:before="0" w:after="0" w:line="240" w:lineRule="auto"/>
              <w:ind w:left="0" w:right="0" w:firstLine="0"/>
              <w:jc w:val="left"/>
            </w:pPr>
            <w:r>
              <w:rPr>
                <w:lang w:val="en-US"/>
              </w:rPr>
              <w:t xml:space="preserve">Assess whether segmentation contained the incident and make needed changes. [1]</w:t>
            </w:r>
          </w:p>
        </w:tc>
        <w:tc>
          <w:tcPr>
            <w:tcW w:w="2256" w:type="dxa"/>
            <w:shd w:val="clear" w:color="auto" w:fill="F4F7FB"/>
          </w:tcPr>
          <w:p>
            <w:pPr>
              <w:pStyle w:val="TableText"/>
              <w:spacing w:before="0" w:after="0" w:line="240" w:lineRule="auto"/>
              <w:ind w:left="0" w:right="0" w:firstLine="0"/>
              <w:jc w:val="left"/>
            </w:pPr>
            <w:r>
              <w:rPr>
                <w:lang w:val="en-US"/>
              </w:rPr>
              <w:t xml:space="preserve">Information security and infrastructure leadership.</w:t>
            </w:r>
          </w:p>
        </w:tc>
      </w:tr>
      <w:tr>
        <w:trPr>
          <w:cantSplit/>
        </w:trPr>
        <w:tc>
          <w:tcPr>
            <w:tcW w:w="2257" w:type="dxa"/>
          </w:tcPr>
          <w:p>
            <w:pPr>
              <w:pStyle w:val="TableText"/>
              <w:spacing w:before="0" w:after="0" w:line="240" w:lineRule="auto"/>
              <w:ind w:left="0" w:right="0" w:firstLine="0"/>
              <w:jc w:val="left"/>
            </w:pPr>
            <w:r>
              <w:rPr>
                <w:lang w:val="en-US"/>
              </w:rPr>
              <w:t xml:space="preserve">Notice conflicts with legal duties or an active investigation.</w:t>
            </w:r>
          </w:p>
        </w:tc>
        <w:tc>
          <w:tcPr>
            <w:tcW w:w="2257" w:type="dxa"/>
          </w:tcPr>
          <w:p>
            <w:pPr>
              <w:pStyle w:val="TableText"/>
              <w:spacing w:before="0" w:after="0" w:line="240" w:lineRule="auto"/>
              <w:ind w:left="0" w:right="0" w:firstLine="0"/>
              <w:jc w:val="left"/>
            </w:pPr>
            <w:r>
              <w:rPr>
                <w:lang w:val="en-US"/>
              </w:rPr>
              <w:t xml:space="preserve">May create compliance exposure or impede law enforcement activity. [1]</w:t>
            </w:r>
          </w:p>
        </w:tc>
        <w:tc>
          <w:tcPr>
            <w:tcW w:w="2256" w:type="dxa"/>
          </w:tcPr>
          <w:p>
            <w:pPr>
              <w:pStyle w:val="TableText"/>
              <w:spacing w:before="0" w:after="0" w:line="240" w:lineRule="auto"/>
              <w:ind w:left="0" w:right="0" w:firstLine="0"/>
              <w:jc w:val="left"/>
            </w:pPr>
            <w:r>
              <w:rPr>
                <w:lang w:val="en-US"/>
              </w:rPr>
              <w:t xml:space="preserve">Consult legal counsel, identify applicable laws, and coordinate notice timing and content with law enforcement. [1]</w:t>
            </w:r>
          </w:p>
        </w:tc>
        <w:tc>
          <w:tcPr>
            <w:tcW w:w="2256" w:type="dxa"/>
          </w:tcPr>
          <w:p>
            <w:pPr>
              <w:pStyle w:val="TableText"/>
              <w:spacing w:before="0" w:after="0" w:line="240" w:lineRule="auto"/>
              <w:ind w:left="0" w:right="0" w:firstLine="0"/>
              <w:jc w:val="left"/>
            </w:pPr>
            <w:r>
              <w:rPr>
                <w:lang w:val="en-US"/>
              </w:rPr>
              <w:t xml:space="preserve">Legal counsel and the designated law enforcement liaison.</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Customer confusion, frustration, or breach-related phishing.</w:t>
            </w:r>
          </w:p>
        </w:tc>
        <w:tc>
          <w:tcPr>
            <w:tcW w:w="2257" w:type="dxa"/>
            <w:shd w:val="clear" w:color="auto" w:fill="F4F7FB"/>
          </w:tcPr>
          <w:p>
            <w:pPr>
              <w:pStyle w:val="TableText"/>
              <w:spacing w:before="0" w:after="0" w:line="240" w:lineRule="auto"/>
              <w:ind w:left="0" w:right="0" w:firstLine="0"/>
              <w:jc w:val="left"/>
            </w:pPr>
            <w:r>
              <w:rPr>
                <w:lang w:val="en-US"/>
              </w:rPr>
              <w:t xml:space="preserve">Can undermine trust and leave affected people more vulnerable. [1]</w:t>
            </w:r>
          </w:p>
        </w:tc>
        <w:tc>
          <w:tcPr>
            <w:tcW w:w="2256" w:type="dxa"/>
            <w:shd w:val="clear" w:color="auto" w:fill="F4F7FB"/>
          </w:tcPr>
          <w:p>
            <w:pPr>
              <w:pStyle w:val="TableText"/>
              <w:spacing w:before="0" w:after="0" w:line="240" w:lineRule="auto"/>
              <w:ind w:left="0" w:right="0" w:firstLine="0"/>
              <w:jc w:val="left"/>
            </w:pPr>
            <w:r>
              <w:rPr>
                <w:lang w:val="en-US"/>
              </w:rPr>
              <w:t xml:space="preserve">Provide clear answers, explain how future contact will occur, and direct people to appropriate recovery resources. [1]</w:t>
            </w:r>
          </w:p>
        </w:tc>
        <w:tc>
          <w:tcPr>
            <w:tcW w:w="2256" w:type="dxa"/>
            <w:shd w:val="clear" w:color="auto" w:fill="F4F7FB"/>
          </w:tcPr>
          <w:p>
            <w:pPr>
              <w:pStyle w:val="TableText"/>
              <w:spacing w:before="0" w:after="0" w:line="240" w:lineRule="auto"/>
              <w:ind w:left="0" w:right="0" w:firstLine="0"/>
              <w:jc w:val="left"/>
            </w:pPr>
            <w:r>
              <w:rPr>
                <w:lang w:val="en-US"/>
              </w:rPr>
              <w:t xml:space="preserve">Communications lead and customer support.</w:t>
            </w:r>
          </w:p>
        </w:tc>
      </w:tr>
    </w:tbl>
    <w:p>
      <w:pPr>
        <w:pStyle w:val="Normal"/>
      </w:pPr>
      <w:r>
        <w:rPr>
          <w:lang w:val="en-US"/>
        </w:rPr>
        <w:t xml:space="preserve">Risk management must continue after initial containment. The FTC advises implementing recommended remedial measures as soon as possible after receiving forensic reports. It also recommends reviewing who had access at the time of the breach, analyzing who has access now, and restricting access that is not needed. [1]</w:t>
      </w:r>
    </w:p>
    <w:p>
      <w:pPr>
        <w:pStyle w:val="Heading2"/>
        <w:outlineLvl w:val="1"/>
      </w:pPr>
      <w:r>
        <w:rPr>
          <w:lang w:val="en-US"/>
        </w:rPr>
        <w:t xml:space="preserve">Recommendation and Next Steps</w:t>
      </w:r>
    </w:p>
    <w:p>
      <w:pPr>
        <w:pStyle w:val="Normal"/>
      </w:pPr>
      <w:r>
        <w:rPr>
          <w:lang w:val="en-US"/>
        </w:rPr>
        <w:t xml:space="preserve">Authorize an immediate, cross-functional response led by a designated executive sponsor. Isolate affected assets without destroying evidence. Engage forensic and legal expertise, change compromised credentials, review and restrict unnecessary access, assess service provider involvement, and determine whether segmentation contained the incident. [1]</w:t>
      </w:r>
    </w:p>
    <w:p>
      <w:pPr>
        <w:pStyle w:val="Normal"/>
      </w:pPr>
      <w:r>
        <w:rPr>
          <w:lang w:val="en-US"/>
        </w:rPr>
        <w:t xml:space="preserve">At the same time, build a documented fact base. Establish what is known about the source and scope of the breach, the information involved, the people who may be affected, available contact information, and any evidence of misuse. Legal counsel should determine applicable notification duties. A designated law enforcement liaison should coordinate the timing and content of external notices. [1]</w:t>
      </w:r>
    </w:p>
    <w:p>
      <w:pPr>
        <w:pStyle w:val="Normal"/>
      </w:pPr>
      <w:r>
        <w:rPr>
          <w:lang w:val="en-US"/>
        </w:rPr>
        <w:t xml:space="preserve">Prepare stakeholder communications before they are needed. Name one point person to release information, publish clear answers to anticipated questions, avoid misleading statements, and give affected individuals practical protective steps suited to the information exposed. If financial information or Social Security numbers were involved, assess support options such as credit monitoring, identity theft protection, or restoration services. [1]</w:t>
      </w:r>
    </w:p>
    <w:p>
      <w:pPr>
        <w:pStyle w:val="Normal"/>
      </w:pPr>
      <w:r>
        <w:rPr>
          <w:lang w:val="en-US"/>
        </w:rPr>
        <w:t xml:space="preserve">Note</w:t>
      </w:r>
    </w:p>
    <w:p>
      <w:pPr>
        <w:pStyle w:val="Normal"/>
      </w:pPr>
      <w:r>
        <w:rPr>
          <w:lang w:val="en-US"/>
        </w:rPr>
        <w:t xml:space="preserve">Contain the breach, preserve evidence, verify the facts, coordinate legally required notification, and communicate clearly enough for affected people to protect themselves. [1]</w:t>
      </w:r>
    </w:p>
    <w:p>
      <w:pPr>
        <w:pStyle w:val="Normal"/>
      </w:pPr>
      <w:r>
        <w:rPr>
          <w:lang w:val="en-US"/>
        </w:rPr>
        <w:t xml:space="preserve">At the next executive review, confirm ownership for containment, forensics, legal assessment, communications, customer support, service provider remediation, and post-incident improvements. Require evidence that forensic recommendations have been implemented, corrective actions are complete, and unnecessary access has been removed. [1]</w:t>
      </w:r>
    </w:p>
    <w:p>
      <w:pPr>
        <w:pStyle w:val="Heading2"/>
        <w:outlineLvl w:val="1"/>
      </w:pPr>
      <w:r>
        <w:rPr>
          <w:lang w:val="en-US"/>
        </w:rPr>
        <w:t xml:space="preserve">Conclusion</w:t>
      </w:r>
    </w:p>
    <w:p>
      <w:pPr>
        <w:pStyle w:val="Normal"/>
      </w:pPr>
      <w:r>
        <w:rPr>
          <w:lang w:val="en-US"/>
        </w:rPr>
        <w:t xml:space="preserve">A disciplined breach response helps protect people, preserve trust, and support compliance with applicable requirements. Executive leadership should ensure that containment, investigation, notification, communications, customer support, and remediation each have clear owners, decision authority, and documented timelines.</w:t>
      </w:r>
    </w:p>
    <w:p>
      <w:pPr>
        <w:pStyle w:val="Normal"/>
      </w:pPr>
      <w:r>
        <w:rPr>
          <w:lang w:val="en-US"/>
        </w:rPr>
        <w:t xml:space="preserve">The immediate priority is to reduce ongoing risk while keeping accurate records of evidence, decisions, and communications. Base notifications and support measures on confirmed facts, and deliver them clearly and in a timely way so affected individuals can take practical protective action.</w:t>
      </w:r>
    </w:p>
    <w:p>
      <w:pPr>
        <w:pStyle w:val="Normal"/>
      </w:pPr>
      <w:r>
        <w:rPr>
          <w:lang w:val="en-US"/>
        </w:rPr>
        <w:t xml:space="preserve">Close the response with accountability and verification. Confirm that service providers have addressed identified weaknesses, unnecessary access has been removed, corrective actions are complete, and lessons learned have strengthened controls, response procedures, and oversight.</w:t>
      </w:r>
    </w:p>
    <w:p>
      <w:pPr>
        <w:pStyle w:val="Heading2"/>
        <w:outlineLvl w:val="1"/>
      </w:pPr>
      <w:r>
        <w:rPr>
          <w:lang w:val="en-US"/>
        </w:rPr>
        <w:t xml:space="preserve">Sources</w:t>
      </w:r>
    </w:p>
    <w:p>
      <w:pPr>
        <w:pStyle w:val="ListParagraph"/>
        <w:numPr>
          <w:ilvl w:val="0"/>
          <w:numId w:val="1"/>
        </w:numPr>
        <w:ind w:left="360" w:hanging="240"/>
      </w:pPr>
      <w:r>
        <w:rPr>
          <w:lang w:val="en-US"/>
        </w:rPr>
        <w:t xml:space="preserve">pdf-0154_data-breach-response-guide-for-business-042519-508.pdf</w:t>
      </w:r>
    </w:p>
    <w:sectPr>
      <w:footerReference xmlns:r="http://schemas.openxmlformats.org/officeDocument/2006/relationships" w:type="default" r:id="R2b64df1bf35241e8"/>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Inter">
    <w:family w:val="swiss"/>
    <w:pitch w:val="variable"/>
  </w:font>
  <w:font w:name="Inter Tight">
    <w:family w:val="swiss"/>
    <w:pitch w:val="variable"/>
  </w:font>
  <w:font w:name="JetBrains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num w:numId="1">
    <w:abstractNumId w:val="1"/>
    <w:lvlOverride w:ilvl="0">
      <w:startOverride w:val="1"/>
    </w:lvlOverride>
  </w:num>
</w:numbering>
</file>

<file path=word/settings.xml><?xml version="1.0" encoding="utf-8"?>
<w:settings xmlns:w="http://schemas.openxmlformats.org/wordprocessingml/2006/main">
  <w:docVars>
    <w:docVar w:name="CoverComposition" w:val="band"/>
  </w:docVars>
</w:settings>
</file>

<file path=word/styles.xml><?xml version="1.0" encoding="utf-8"?>
<w:styles xmlns:w="http://schemas.openxmlformats.org/wordprocessingml/2006/main">
  <w:docDefaults>
    <w:rPrDefault>
      <w:rPr>
        <w:rFonts w:ascii="Inter" w:hAnsi="Inter" w:eastAsia="Inter" w:cs="Inter"/>
        <w:color w:val="1F2937"/>
        <w:sz w:val="20"/>
        <w:szCs w:val="20"/>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44" w:line="316" w:lineRule="atLeast"/>
      <w:ind w:left="0" w:right="0" w:firstLine="0"/>
      <w:jc w:val="left"/>
    </w:pPr>
    <w:rPr>
      <w:rFonts w:ascii="Inter" w:hAnsi="Inter"/>
      <w:b w:val="false"/>
      <w:bCs w:val="false"/>
      <w:i w:val="false"/>
      <w:iCs w:val="false"/>
      <w:caps w:val="false"/>
      <w:color w:val="1F2937"/>
      <w:sz w:val="20"/>
      <w:szCs w:val="20"/>
    </w:rPr>
  </w:style>
  <w:style w:type="paragraph" w:styleId="ListParagraph">
    <w:name w:val="List Paragraph"/>
    <w:basedOn w:val="Normal"/>
    <w:qFormat/>
    <w:pPr>
      <w:spacing w:before="0" w:after="60" w:line="316" w:lineRule="atLeast"/>
      <w:ind w:left="0" w:right="0" w:firstLine="0"/>
      <w:jc w:val="left"/>
    </w:pPr>
    <w:rPr>
      <w:rFonts w:ascii="Inter" w:hAnsi="Inter"/>
      <w:b w:val="false"/>
      <w:bCs w:val="false"/>
      <w:i w:val="false"/>
      <w:iCs w:val="false"/>
      <w:caps w:val="false"/>
      <w:color w:val="1F2937"/>
      <w:sz w:val="20"/>
      <w:szCs w:val="20"/>
    </w:rPr>
  </w:style>
  <w:style w:type="paragraph" w:styleId="Heading1">
    <w:name w:val="Heading 1"/>
    <w:basedOn w:val="Normal"/>
    <w:next w:val="Normal"/>
    <w:qFormat/>
    <w:pPr>
      <w:keepNext/>
      <w:keepLines/>
      <w:pageBreakBefore w:val="true"/>
      <w:suppressAutoHyphens/>
      <w:spacing w:before="0" w:after="234" w:line="477" w:lineRule="atLeast"/>
      <w:ind w:left="0" w:right="0" w:firstLine="0"/>
      <w:jc w:val="left"/>
      <w:outlineLvl w:val="0"/>
    </w:pPr>
    <w:rPr>
      <w:rFonts w:ascii="Inter" w:hAnsi="Inter"/>
      <w:b w:val="true"/>
      <w:bCs w:val="true"/>
      <w:i w:val="false"/>
      <w:iCs w:val="false"/>
      <w:caps w:val="false"/>
      <w:color w:val="0B2350"/>
      <w:spacing w:val="-5"/>
      <w:sz w:val="39"/>
      <w:szCs w:val="39"/>
    </w:rPr>
  </w:style>
  <w:style w:type="paragraph" w:styleId="Heading2">
    <w:name w:val="Heading 2"/>
    <w:basedOn w:val="Normal"/>
    <w:next w:val="Normal"/>
    <w:qFormat/>
    <w:pPr>
      <w:keepNext/>
      <w:keepLines/>
      <w:pageBreakBefore w:val="false"/>
      <w:pBdr>
        <w:left w:val="single" w:color="E8620C" w:sz="24" w:space="9"/>
      </w:pBdr>
      <w:suppressAutoHyphens/>
      <w:spacing w:before="450" w:after="172" w:line="381" w:lineRule="atLeast"/>
      <w:ind w:left="232" w:right="0" w:firstLine="0"/>
      <w:jc w:val="left"/>
      <w:outlineLvl w:val="1"/>
    </w:pPr>
    <w:rPr>
      <w:rFonts w:ascii="Inter" w:hAnsi="Inter"/>
      <w:b w:val="true"/>
      <w:bCs w:val="true"/>
      <w:i w:val="false"/>
      <w:iCs w:val="false"/>
      <w:caps w:val="false"/>
      <w:color w:val="0B2350"/>
      <w:spacing w:val="-4"/>
      <w:sz w:val="31"/>
      <w:szCs w:val="31"/>
    </w:rPr>
  </w:style>
  <w:style w:type="paragraph" w:styleId="Heading3">
    <w:name w:val="Heading 3"/>
    <w:basedOn w:val="Normal"/>
    <w:next w:val="Normal"/>
    <w:qFormat/>
    <w:pPr>
      <w:keepNext/>
      <w:keepLines/>
      <w:pageBreakBefore w:val="false"/>
      <w:suppressAutoHyphens/>
      <w:spacing w:before="198" w:after="113" w:line="305" w:lineRule="atLeast"/>
      <w:ind w:left="0" w:right="0" w:firstLine="0"/>
      <w:jc w:val="left"/>
      <w:outlineLvl w:val="2"/>
    </w:pPr>
    <w:rPr>
      <w:rFonts w:ascii="Inter" w:hAnsi="Inter"/>
      <w:b w:val="true"/>
      <w:bCs w:val="true"/>
      <w:i w:val="false"/>
      <w:iCs w:val="false"/>
      <w:caps w:val="false"/>
      <w:color w:val="0B2350"/>
      <w:spacing w:val="-3"/>
      <w:sz w:val="25"/>
      <w:szCs w:val="25"/>
    </w:rPr>
  </w:style>
  <w:style w:type="paragraph" w:styleId="Heading4">
    <w:name w:val="Heading 4"/>
    <w:basedOn w:val="Normal"/>
    <w:next w:val="Normal"/>
    <w:qFormat/>
    <w:pPr>
      <w:keepNext/>
      <w:keepLines/>
      <w:pageBreakBefore w:val="false"/>
      <w:suppressAutoHyphens/>
      <w:spacing w:before="111" w:after="78" w:line="273" w:lineRule="atLeast"/>
      <w:ind w:left="0" w:right="0" w:firstLine="0"/>
      <w:jc w:val="left"/>
      <w:outlineLvl w:val="3"/>
    </w:pPr>
    <w:rPr>
      <w:rFonts w:ascii="Inter" w:hAnsi="Inter"/>
      <w:b w:val="true"/>
      <w:bCs w:val="true"/>
      <w:i w:val="false"/>
      <w:iCs w:val="false"/>
      <w:caps w:val="false"/>
      <w:color w:val="0B2350"/>
      <w:spacing w:val="-3"/>
      <w:sz w:val="22"/>
      <w:szCs w:val="22"/>
    </w:rPr>
  </w:style>
  <w:style w:type="paragraph" w:styleId="Heading5">
    <w:name w:val="Heading 5"/>
    <w:basedOn w:val="Normal"/>
    <w:next w:val="Normal"/>
    <w:qFormat/>
    <w:pPr>
      <w:keepNext/>
      <w:keepLines/>
      <w:pageBreakBefore w:val="false"/>
      <w:suppressAutoHyphens/>
      <w:spacing w:before="70" w:after="62" w:line="217" w:lineRule="atLeast"/>
      <w:ind w:left="0" w:right="0" w:firstLine="0"/>
      <w:jc w:val="left"/>
      <w:outlineLvl w:val="4"/>
    </w:pPr>
    <w:rPr>
      <w:rFonts w:ascii="Inter" w:hAnsi="Inter"/>
      <w:b w:val="true"/>
      <w:bCs w:val="true"/>
      <w:i w:val="false"/>
      <w:iCs w:val="false"/>
      <w:caps w:val="true"/>
      <w:color w:val="0B2350"/>
      <w:spacing w:val="11"/>
      <w:sz w:val="18"/>
      <w:szCs w:val="18"/>
    </w:rPr>
  </w:style>
  <w:style w:type="paragraph" w:styleId="Heading6">
    <w:name w:val="Heading 6"/>
    <w:basedOn w:val="Normal"/>
    <w:next w:val="Normal"/>
    <w:qFormat/>
    <w:pPr>
      <w:keepNext/>
      <w:keepLines/>
      <w:pageBreakBefore w:val="false"/>
      <w:suppressAutoHyphens/>
      <w:spacing w:before="70" w:after="62" w:line="217" w:lineRule="atLeast"/>
      <w:ind w:left="0" w:right="0" w:firstLine="0"/>
      <w:jc w:val="left"/>
      <w:outlineLvl w:val="5"/>
    </w:pPr>
    <w:rPr>
      <w:rFonts w:ascii="Inter" w:hAnsi="Inter"/>
      <w:b w:val="true"/>
      <w:bCs w:val="true"/>
      <w:i w:val="false"/>
      <w:iCs w:val="false"/>
      <w:caps w:val="true"/>
      <w:color w:val="0B2350"/>
      <w:spacing w:val="11"/>
      <w:sz w:val="18"/>
      <w:szCs w:val="18"/>
    </w:rPr>
  </w:style>
  <w:style w:type="paragraph" w:styleId="DocumentTitle" w:customStyle="true">
    <w:name w:val="Document Title"/>
    <w:basedOn w:val="Normal"/>
    <w:next w:val="Normal"/>
    <w:qFormat/>
    <w:pPr>
      <w:keepNext/>
      <w:keepLines/>
      <w:suppressAutoHyphens/>
      <w:spacing w:before="0" w:after="742" w:line="527" w:lineRule="atLeast"/>
      <w:ind w:left="0" w:right="0" w:firstLine="0"/>
      <w:jc w:val="left"/>
      <w:outlineLvl w:val="0"/>
    </w:pPr>
    <w:rPr>
      <w:rFonts w:ascii="Inter Tight" w:hAnsi="Inter Tight"/>
      <w:b w:val="true"/>
      <w:bCs w:val="true"/>
      <w:i w:val="false"/>
      <w:iCs w:val="false"/>
      <w:caps w:val="false"/>
      <w:color w:val="0B2350"/>
      <w:spacing w:val="-12"/>
      <w:sz w:val="49"/>
      <w:szCs w:val="49"/>
    </w:rPr>
  </w:style>
  <w:style w:type="paragraph" w:styleId="TOCHeading">
    <w:name w:val="TOC Heading"/>
    <w:basedOn w:val="Normal"/>
    <w:qFormat/>
    <w:pPr>
      <w:keepNext/>
      <w:keepLines/>
      <w:pBdr>
        <w:left w:val="single" w:color="E8620C" w:sz="24" w:space="9"/>
      </w:pBdr>
      <w:suppressAutoHyphens/>
      <w:spacing w:before="0" w:after="344" w:line="381" w:lineRule="atLeast"/>
      <w:ind w:left="232" w:right="0" w:firstLine="0"/>
      <w:jc w:val="left"/>
    </w:pPr>
    <w:rPr>
      <w:rFonts w:ascii="Inter" w:hAnsi="Inter"/>
      <w:b w:val="true"/>
      <w:bCs w:val="true"/>
      <w:i w:val="false"/>
      <w:iCs w:val="false"/>
      <w:caps w:val="false"/>
      <w:color w:val="0B2350"/>
      <w:spacing w:val="-4"/>
      <w:sz w:val="31"/>
      <w:szCs w:val="31"/>
    </w:rPr>
  </w:style>
  <w:style w:type="paragraph" w:styleId="TOC1">
    <w:name w:val="TOC 1"/>
    <w:basedOn w:val="Normal"/>
    <w:qFormat/>
    <w:pPr>
      <w:keepLines/>
      <w:pBdr>
        <w:bottom w:val="single" w:color="D3DBE6" w:sz="6" w:space="5"/>
        <w:between w:val="single" w:color="D3DBE6" w:sz="6" w:space="5"/>
      </w:pBdr>
      <w:suppressAutoHyphens/>
      <w:spacing w:before="100" w:after="0" w:line="270" w:lineRule="atLeast"/>
      <w:ind w:left="0" w:right="0" w:firstLine="0"/>
      <w:jc w:val="left"/>
    </w:pPr>
    <w:rPr>
      <w:rFonts w:ascii="Inter" w:hAnsi="Inter"/>
      <w:b w:val="true"/>
      <w:bCs w:val="true"/>
      <w:i w:val="false"/>
      <w:iCs w:val="false"/>
      <w:caps w:val="false"/>
      <w:color w:val="0B2350"/>
      <w:sz w:val="20"/>
      <w:szCs w:val="20"/>
    </w:rPr>
  </w:style>
  <w:style w:type="paragraph" w:styleId="TOC2">
    <w:name w:val="TOC 2"/>
    <w:basedOn w:val="Normal"/>
    <w:qFormat/>
    <w:pPr>
      <w:keepLines/>
      <w:pBdr>
        <w:bottom w:val="single" w:color="D3DBE6" w:sz="6" w:space="5"/>
        <w:between w:val="single" w:color="D3DBE6" w:sz="6" w:space="5"/>
      </w:pBdr>
      <w:suppressAutoHyphens/>
      <w:spacing w:before="100" w:after="0" w:line="270" w:lineRule="atLeast"/>
      <w:ind w:left="240" w:right="0" w:firstLine="0"/>
      <w:jc w:val="left"/>
    </w:pPr>
    <w:rPr>
      <w:rFonts w:ascii="Inter" w:hAnsi="Inter"/>
      <w:b w:val="false"/>
      <w:bCs w:val="false"/>
      <w:i w:val="false"/>
      <w:iCs w:val="false"/>
      <w:caps w:val="false"/>
      <w:color w:val="1F2937"/>
      <w:sz w:val="20"/>
      <w:szCs w:val="20"/>
    </w:rPr>
  </w:style>
  <w:style w:type="paragraph" w:styleId="TOC3">
    <w:name w:val="TOC 3"/>
    <w:basedOn w:val="Normal"/>
    <w:qFormat/>
    <w:pPr>
      <w:keepLines/>
      <w:pBdr>
        <w:bottom w:val="single" w:color="D3DBE6" w:sz="6" w:space="5"/>
        <w:between w:val="single" w:color="D3DBE6" w:sz="6" w:space="5"/>
      </w:pBdr>
      <w:suppressAutoHyphens/>
      <w:spacing w:before="100" w:after="0" w:line="240" w:lineRule="atLeast"/>
      <w:ind w:left="480" w:right="0" w:firstLine="0"/>
      <w:jc w:val="left"/>
    </w:pPr>
    <w:rPr>
      <w:rFonts w:ascii="Inter" w:hAnsi="Inter"/>
      <w:b w:val="false"/>
      <w:bCs w:val="false"/>
      <w:i w:val="false"/>
      <w:iCs w:val="false"/>
      <w:caps w:val="false"/>
      <w:color w:val="56606E"/>
      <w:sz w:val="18"/>
      <w:szCs w:val="18"/>
    </w:rPr>
  </w:style>
  <w:style w:type="paragraph" w:styleId="Caption">
    <w:name w:val="Caption"/>
    <w:basedOn w:val="Normal"/>
    <w:qFormat/>
    <w:pPr>
      <w:suppressAutoHyphens/>
      <w:spacing w:before="98" w:after="144" w:line="249" w:lineRule="atLeast"/>
      <w:ind w:left="0" w:right="0" w:firstLine="0"/>
      <w:jc w:val="center"/>
    </w:pPr>
    <w:rPr>
      <w:rFonts w:ascii="Inter" w:hAnsi="Inter"/>
      <w:b w:val="false"/>
      <w:bCs w:val="false"/>
      <w:i w:val="false"/>
      <w:iCs w:val="false"/>
      <w:caps w:val="false"/>
      <w:color w:val="56606E"/>
      <w:sz w:val="18"/>
      <w:szCs w:val="18"/>
    </w:rPr>
  </w:style>
  <w:style w:type="paragraph" w:styleId="Attribution" w:customStyle="true">
    <w:name w:val="Attribution"/>
    <w:basedOn w:val="Normal"/>
    <w:qFormat/>
    <w:pPr>
      <w:spacing w:before="0" w:after="144" w:line="231" w:lineRule="atLeast"/>
      <w:ind w:left="0" w:right="0" w:firstLine="0"/>
      <w:jc w:val="center"/>
    </w:pPr>
    <w:rPr>
      <w:rFonts w:ascii="Inter" w:hAnsi="Inter"/>
      <w:b w:val="false"/>
      <w:bCs w:val="false"/>
      <w:i w:val="true"/>
      <w:iCs w:val="true"/>
      <w:caps w:val="false"/>
      <w:color w:val="56606E"/>
      <w:sz w:val="18"/>
      <w:szCs w:val="18"/>
    </w:rPr>
  </w:style>
  <w:style w:type="paragraph" w:styleId="Quote">
    <w:name w:val="Quote"/>
    <w:basedOn w:val="Normal"/>
    <w:qFormat/>
    <w:pPr>
      <w:pBdr>
        <w:left w:val="single" w:color="E8620C" w:sz="24" w:space="10"/>
      </w:pBdr>
      <w:spacing w:before="230" w:after="144" w:line="316" w:lineRule="atLeast"/>
      <w:ind w:left="260" w:right="0" w:firstLine="0"/>
      <w:jc w:val="left"/>
    </w:pPr>
    <w:rPr>
      <w:rFonts w:ascii="Inter" w:hAnsi="Inter"/>
      <w:b w:val="false"/>
      <w:bCs w:val="false"/>
      <w:i w:val="true"/>
      <w:iCs w:val="true"/>
      <w:caps w:val="false"/>
      <w:color w:val="56606E"/>
      <w:sz w:val="20"/>
      <w:szCs w:val="20"/>
    </w:rPr>
  </w:style>
  <w:style w:type="paragraph" w:styleId="QuoteSource" w:customStyle="true">
    <w:name w:val="Quote Source"/>
    <w:basedOn w:val="Normal"/>
    <w:qFormat/>
    <w:pPr>
      <w:pBdr>
        <w:left w:val="single" w:color="E8620C" w:sz="24" w:space="10"/>
      </w:pBdr>
      <w:spacing w:before="230" w:after="144" w:line="316" w:lineRule="atLeast"/>
      <w:ind w:left="260" w:right="0" w:firstLine="0"/>
      <w:jc w:val="left"/>
    </w:pPr>
    <w:rPr>
      <w:rFonts w:ascii="Inter" w:hAnsi="Inter"/>
      <w:b w:val="false"/>
      <w:bCs w:val="false"/>
      <w:i w:val="false"/>
      <w:iCs w:val="false"/>
      <w:caps w:val="false"/>
      <w:color w:val="56606E"/>
      <w:sz w:val="18"/>
      <w:szCs w:val="18"/>
    </w:rPr>
  </w:style>
  <w:style w:type="paragraph" w:styleId="PullQuote" w:customStyle="true">
    <w:name w:val="Pull Quote"/>
    <w:basedOn w:val="Normal"/>
    <w:qFormat/>
    <w:pPr>
      <w:keepLines/>
      <w:pBdr>
        <w:top w:val="single" w:color="E8620C" w:sz="11" w:space="8"/>
        <w:bottom w:val="single" w:color="D3DBE6" w:sz="6" w:space="8"/>
      </w:pBdr>
      <w:spacing w:before="322" w:after="322" w:line="325" w:lineRule="atLeast"/>
      <w:ind w:left="0" w:right="0" w:firstLine="0"/>
      <w:jc w:val="left"/>
    </w:pPr>
    <w:rPr>
      <w:rFonts w:ascii="Inter Tight" w:hAnsi="Inter Tight"/>
      <w:b w:val="false"/>
      <w:bCs w:val="false"/>
      <w:i w:val="false"/>
      <w:iCs w:val="false"/>
      <w:caps w:val="false"/>
      <w:color w:val="0B2350"/>
      <w:sz w:val="25"/>
      <w:szCs w:val="25"/>
    </w:rPr>
  </w:style>
  <w:style w:type="paragraph" w:styleId="Callout" w:customStyle="true">
    <w:name w:val="Callout"/>
    <w:basedOn w:val="Normal"/>
    <w:qFormat/>
    <w:pPr>
      <w:pBdr>
        <w:top w:val="single" w:color="F3F6FA" w:sz="2" w:space="8"/>
        <w:left w:val="single" w:color="E8620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Tip" w:customStyle="true">
    <w:name w:val="Callout Tip"/>
    <w:basedOn w:val="Normal"/>
    <w:qFormat/>
    <w:pPr>
      <w:pBdr>
        <w:top w:val="single" w:color="F3F6FA" w:sz="2" w:space="8"/>
        <w:left w:val="single" w:color="146C43"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Warning" w:customStyle="true">
    <w:name w:val="Callout Warning"/>
    <w:basedOn w:val="Normal"/>
    <w:qFormat/>
    <w:pPr>
      <w:pBdr>
        <w:top w:val="single" w:color="F3F6FA" w:sz="2" w:space="8"/>
        <w:left w:val="single" w:color="8A5300"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Note" w:customStyle="true">
    <w:name w:val="Callout Note"/>
    <w:basedOn w:val="Normal"/>
    <w:qFormat/>
    <w:pPr>
      <w:pBdr>
        <w:top w:val="single" w:color="F3F6FA" w:sz="2" w:space="8"/>
        <w:left w:val="single" w:color="0B2A5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Panel" w:customStyle="true">
    <w:name w:val="Panel"/>
    <w:basedOn w:val="Normal"/>
    <w:qFormat/>
    <w:pPr>
      <w:pBdr>
        <w:top w:val="single" w:color="F3F6FA" w:sz="2" w:space="8"/>
        <w:left w:val="single" w:color="0B2A5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PanelTop" w:customStyle="true">
    <w:name w:val="Panel Top"/>
    <w:basedOn w:val="Normal"/>
    <w:qFormat/>
    <w:pPr>
      <w:pBdr>
        <w:top w:val="single" w:color="0B2A5C" w:sz="24" w:space="8"/>
        <w:left w:val="single" w:color="F3F6FA" w:sz="2" w:space="10"/>
        <w:bottom w:val="single" w:color="F3F6FA" w:sz="2" w:space="8"/>
        <w:right w:val="single" w:color="F3F6FA" w:sz="2" w:space="10"/>
      </w:pBdr>
      <w:shd w:val="clear" w:color="auto" w:fill="F3F6FA"/>
      <w:spacing w:before="230" w:after="144" w:line="316" w:lineRule="atLeast"/>
      <w:ind w:left="215" w:right="215" w:firstLine="0"/>
      <w:jc w:val="left"/>
    </w:pPr>
    <w:rPr>
      <w:rFonts w:ascii="Inter" w:hAnsi="Inter"/>
      <w:b w:val="false"/>
      <w:bCs w:val="false"/>
      <w:i w:val="false"/>
      <w:iCs w:val="false"/>
      <w:caps w:val="false"/>
      <w:color w:val="1F2937"/>
      <w:sz w:val="20"/>
      <w:szCs w:val="20"/>
    </w:rPr>
  </w:style>
  <w:style w:type="paragraph" w:styleId="Code" w:customStyle="true">
    <w:name w:val="Code"/>
    <w:basedOn w:val="Normal"/>
    <w:qFormat/>
    <w:pPr>
      <w:pBdr>
        <w:top w:val="single" w:color="D3DBE6" w:sz="6" w:space="8"/>
        <w:left w:val="single" w:color="D3DBE6" w:sz="6" w:space="9"/>
        <w:bottom w:val="single" w:color="D3DBE6" w:sz="6" w:space="8"/>
        <w:right w:val="single" w:color="D3DBE6" w:sz="6" w:space="9"/>
      </w:pBdr>
      <w:shd w:val="clear" w:color="auto" w:fill="F3F6FA"/>
      <w:suppressAutoHyphens/>
      <w:spacing w:before="205" w:after="205" w:line="267" w:lineRule="atLeast"/>
      <w:ind w:left="193" w:right="193" w:firstLine="0"/>
      <w:contextualSpacing/>
      <w:jc w:val="left"/>
    </w:pPr>
    <w:rPr>
      <w:rFonts w:ascii="JetBrains Mono" w:hAnsi="JetBrains Mono"/>
      <w:b w:val="false"/>
      <w:bCs w:val="false"/>
      <w:i w:val="false"/>
      <w:iCs w:val="false"/>
      <w:caps w:val="false"/>
      <w:color w:val="1F2937"/>
      <w:sz w:val="18"/>
      <w:szCs w:val="18"/>
    </w:rPr>
  </w:style>
  <w:style w:type="paragraph" w:styleId="TableText" w:customStyle="true">
    <w:name w:val="Table Text"/>
    <w:basedOn w:val="Normal"/>
    <w:qFormat/>
    <w:pPr>
      <w:spacing w:before="0" w:after="0" w:line="253" w:lineRule="atLeast"/>
      <w:ind w:left="0" w:right="0" w:firstLine="0"/>
      <w:jc w:val="left"/>
    </w:pPr>
    <w:rPr>
      <w:rFonts w:ascii="Inter" w:hAnsi="Inter"/>
      <w:b w:val="false"/>
      <w:bCs w:val="false"/>
      <w:i w:val="false"/>
      <w:iCs w:val="false"/>
      <w:caps w:val="false"/>
      <w:color w:val="1F2937"/>
      <w:sz w:val="18"/>
      <w:szCs w:val="18"/>
    </w:rPr>
  </w:style>
  <w:style w:type="paragraph" w:styleId="TableHeading" w:customStyle="true">
    <w:name w:val="Table Heading"/>
    <w:basedOn w:val="Normal"/>
    <w:qFormat/>
    <w:pPr>
      <w:suppressAutoHyphens/>
      <w:spacing w:before="0" w:after="0" w:line="253" w:lineRule="atLeast"/>
      <w:ind w:left="0" w:right="0" w:firstLine="0"/>
      <w:jc w:val="left"/>
    </w:pPr>
    <w:rPr>
      <w:rFonts w:ascii="Inter" w:hAnsi="Inter"/>
      <w:b w:val="true"/>
      <w:bCs w:val="true"/>
      <w:i w:val="false"/>
      <w:iCs w:val="false"/>
      <w:caps w:val="false"/>
      <w:color w:val="FFFFFF"/>
      <w:sz w:val="18"/>
      <w:szCs w:val="18"/>
    </w:rPr>
  </w:style>
  <w:style w:type="paragraph" w:styleId="TableRowHeading" w:customStyle="true">
    <w:name w:val="Table Row Heading"/>
    <w:basedOn w:val="Normal"/>
    <w:qFormat/>
    <w:pPr>
      <w:suppressAutoHyphens/>
      <w:spacing w:before="0" w:after="0" w:line="253" w:lineRule="atLeast"/>
      <w:ind w:left="0" w:right="0" w:firstLine="0"/>
      <w:jc w:val="left"/>
    </w:pPr>
    <w:rPr>
      <w:rFonts w:ascii="Inter" w:hAnsi="Inter"/>
      <w:b w:val="true"/>
      <w:bCs w:val="true"/>
      <w:i w:val="false"/>
      <w:iCs w:val="false"/>
      <w:caps w:val="false"/>
      <w:color w:val="757575"/>
      <w:sz w:val="18"/>
      <w:szCs w:val="18"/>
    </w:rPr>
  </w:style>
  <w:style w:type="paragraph" w:styleId="Divider" w:customStyle="true">
    <w:name w:val="Divider"/>
    <w:basedOn w:val="Normal"/>
    <w:qFormat/>
    <w:pPr>
      <w:pBdr>
        <w:bottom w:val="single" w:color="D3DBE6" w:sz="6" w:space="0"/>
      </w:pBdr>
      <w:spacing w:before="236" w:after="380" w:line="20" w:lineRule="exact"/>
      <w:ind w:left="0" w:right="0" w:firstLine="0"/>
      <w:jc w:val="left"/>
    </w:pPr>
    <w:rPr>
      <w:rFonts w:ascii="Inter" w:hAnsi="Inter"/>
      <w:b w:val="false"/>
      <w:bCs w:val="false"/>
      <w:i w:val="false"/>
      <w:iCs w:val="false"/>
      <w:caps w:val="false"/>
      <w:color w:val="1F2937"/>
      <w:sz w:val="2"/>
      <w:szCs w:val="2"/>
    </w:rPr>
  </w:style>
  <w:style w:type="paragraph" w:styleId="SceneBreak" w:customStyle="true">
    <w:name w:val="Scene Break"/>
    <w:basedOn w:val="Normal"/>
    <w:qFormat/>
    <w:pPr>
      <w:keepNext/>
      <w:spacing w:before="280" w:after="280" w:line="240" w:lineRule="auto"/>
      <w:ind w:left="0" w:right="0" w:firstLine="0"/>
      <w:jc w:val="center"/>
    </w:pPr>
    <w:rPr>
      <w:rFonts w:ascii="Inter" w:hAnsi="Inter"/>
      <w:b w:val="false"/>
      <w:bCs w:val="false"/>
      <w:i w:val="false"/>
      <w:iCs w:val="false"/>
      <w:caps w:val="false"/>
      <w:color w:val="E8620C"/>
      <w:sz w:val="23"/>
      <w:szCs w:val="23"/>
    </w:rPr>
  </w:style>
  <w:style w:type="paragraph" w:styleId="HeadingBar" w:customStyle="true">
    <w:name w:val="Heading Bar"/>
    <w:basedOn w:val="Normal"/>
    <w:qFormat/>
    <w:pPr>
      <w:keepNext/>
      <w:spacing w:before="0" w:after="0" w:line="20" w:lineRule="exact"/>
      <w:ind w:left="0" w:right="0" w:firstLine="0"/>
      <w:jc w:val="left"/>
    </w:pPr>
    <w:rPr>
      <w:rFonts w:ascii="Inter" w:hAnsi="Inter"/>
      <w:b w:val="false"/>
      <w:bCs w:val="false"/>
      <w:i w:val="false"/>
      <w:iCs w:val="false"/>
      <w:caps w:val="false"/>
      <w:color w:val="E8620C"/>
      <w:sz w:val="2"/>
      <w:szCs w:val="2"/>
    </w:rPr>
  </w:style>
  <w:style w:type="paragraph" w:styleId="ChapterNumber" w:customStyle="true">
    <w:name w:val="Chapter Number"/>
    <w:basedOn w:val="Normal"/>
    <w:qFormat/>
    <w:pPr>
      <w:keepNext/>
      <w:suppressAutoHyphens/>
      <w:spacing w:before="1296" w:after="96" w:line="288" w:lineRule="auto"/>
      <w:ind w:left="0" w:right="0" w:firstLine="0"/>
      <w:jc w:val="center"/>
    </w:pPr>
    <w:rPr>
      <w:rFonts w:ascii="Inter" w:hAnsi="Inter"/>
      <w:b w:val="true"/>
      <w:bCs w:val="true"/>
      <w:i w:val="false"/>
      <w:iCs w:val="false"/>
      <w:caps w:val="true"/>
      <w:color w:val="B0460A"/>
      <w:spacing w:val="29"/>
      <w:sz w:val="16"/>
      <w:szCs w:val="16"/>
    </w:rPr>
  </w:style>
  <w:style w:type="paragraph" w:styleId="ChapterTitle" w:customStyle="true">
    <w:name w:val="Chapter Title"/>
    <w:basedOn w:val="Normal"/>
    <w:next w:val="Normal"/>
    <w:qFormat/>
    <w:pPr>
      <w:keepNext/>
      <w:keepLines/>
      <w:suppressAutoHyphens/>
      <w:spacing w:before="0" w:after="320" w:line="602" w:lineRule="atLeast"/>
      <w:ind w:left="0" w:right="0" w:firstLine="0"/>
      <w:jc w:val="center"/>
      <w:outlineLvl w:val="0"/>
    </w:pPr>
    <w:rPr>
      <w:rFonts w:ascii="Inter Tight" w:hAnsi="Inter Tight"/>
      <w:b w:val="true"/>
      <w:bCs w:val="true"/>
      <w:i w:val="false"/>
      <w:iCs w:val="false"/>
      <w:caps w:val="false"/>
      <w:color w:val="0B2350"/>
      <w:spacing w:val="-13"/>
      <w:sz w:val="52"/>
      <w:szCs w:val="52"/>
    </w:rPr>
  </w:style>
  <w:style w:type="paragraph" w:styleId="Title">
    <w:name w:val="Title"/>
    <w:basedOn w:val="Normal"/>
    <w:qFormat/>
    <w:pPr>
      <w:keepNext/>
      <w:suppressAutoHyphens/>
      <w:spacing w:before="0" w:after="0" w:line="758" w:lineRule="atLeast"/>
      <w:ind w:left="0" w:right="0" w:firstLine="0"/>
      <w:jc w:val="left"/>
    </w:pPr>
    <w:rPr>
      <w:rFonts w:ascii="Inter Tight" w:hAnsi="Inter Tight"/>
      <w:b w:val="true"/>
      <w:bCs w:val="true"/>
      <w:i w:val="false"/>
      <w:iCs w:val="false"/>
      <w:caps w:val="false"/>
      <w:color w:val="FFFFFF"/>
      <w:spacing w:val="-18"/>
      <w:sz w:val="70"/>
      <w:szCs w:val="70"/>
    </w:rPr>
  </w:style>
  <w:style w:type="paragraph" w:styleId="Subtitle">
    <w:name w:val="Subtitle"/>
    <w:basedOn w:val="Normal"/>
    <w:qFormat/>
    <w:pPr>
      <w:keepNext/>
      <w:suppressAutoHyphens/>
      <w:spacing w:before="140" w:after="0" w:line="383" w:lineRule="atLeast"/>
      <w:ind w:left="0" w:right="0" w:firstLine="0"/>
      <w:jc w:val="left"/>
    </w:pPr>
    <w:rPr>
      <w:rFonts w:ascii="Inter" w:hAnsi="Inter"/>
      <w:b w:val="false"/>
      <w:bCs w:val="false"/>
      <w:i w:val="false"/>
      <w:iCs w:val="false"/>
      <w:caps w:val="false"/>
      <w:color w:val="FFFFFF"/>
      <w:sz w:val="29"/>
      <w:szCs w:val="29"/>
    </w:rPr>
  </w:style>
  <w:style w:type="paragraph" w:styleId="CoverDescription" w:customStyle="true">
    <w:name w:val="Cover Description"/>
    <w:basedOn w:val="Normal"/>
    <w:qFormat/>
    <w:pPr>
      <w:spacing w:before="280" w:after="0" w:line="300" w:lineRule="atLeast"/>
      <w:ind w:left="0" w:right="0" w:firstLine="0"/>
      <w:jc w:val="left"/>
    </w:pPr>
    <w:rPr>
      <w:rFonts w:ascii="Inter" w:hAnsi="Inter"/>
      <w:b w:val="false"/>
      <w:bCs w:val="false"/>
      <w:i w:val="false"/>
      <w:iCs w:val="false"/>
      <w:caps w:val="false"/>
      <w:color w:val="56606E"/>
      <w:sz w:val="20"/>
      <w:szCs w:val="20"/>
    </w:rPr>
  </w:style>
  <w:style w:type="paragraph" w:styleId="CoverMeta" w:customStyle="true">
    <w:name w:val="Cover Meta"/>
    <w:basedOn w:val="Normal"/>
    <w:qFormat/>
    <w:pPr>
      <w:pBdr>
        <w:top w:val="single" w:color="D3DBE6" w:sz="6" w:space="8"/>
      </w:pBdr>
      <w:spacing w:before="140" w:after="0" w:line="249" w:lineRule="atLeast"/>
      <w:ind w:left="0" w:right="0" w:firstLine="0"/>
      <w:jc w:val="left"/>
    </w:pPr>
    <w:rPr>
      <w:rFonts w:ascii="Inter" w:hAnsi="Inter"/>
      <w:b w:val="false"/>
      <w:bCs w:val="false"/>
      <w:i w:val="false"/>
      <w:iCs w:val="false"/>
      <w:caps w:val="false"/>
      <w:color w:val="56606E"/>
      <w:sz w:val="18"/>
      <w:szCs w:val="18"/>
    </w:rPr>
  </w:style>
  <w:style w:type="paragraph" w:styleId="CoverRule" w:customStyle="true">
    <w:name w:val="Cover Rule"/>
    <w:basedOn w:val="Normal"/>
    <w:qFormat/>
    <w:pPr>
      <w:keepNext/>
      <w:spacing w:before="0" w:after="0" w:line="20" w:lineRule="exact"/>
      <w:ind w:left="0" w:right="0" w:firstLine="0"/>
      <w:jc w:val="left"/>
    </w:pPr>
    <w:rPr>
      <w:rFonts w:ascii="Inter" w:hAnsi="Inter"/>
      <w:b w:val="false"/>
      <w:bCs w:val="false"/>
      <w:i w:val="false"/>
      <w:iCs w:val="false"/>
      <w:caps w:val="false"/>
      <w:color w:val="E8620C"/>
      <w:sz w:val="2"/>
      <w:szCs w:val="2"/>
    </w:rPr>
  </w:style>
  <w:style w:type="paragraph" w:styleId="Header">
    <w:name w:val="Header"/>
    <w:basedOn w:val="Normal"/>
    <w:qFormat/>
    <w:pPr>
      <w:suppressAutoHyphens/>
      <w:spacing w:before="0" w:after="0" w:line="288" w:lineRule="auto"/>
      <w:ind w:left="0" w:right="0" w:firstLine="0"/>
      <w:jc w:val="left"/>
    </w:pPr>
    <w:rPr>
      <w:rFonts w:ascii="Inter" w:hAnsi="Inter"/>
      <w:b w:val="false"/>
      <w:bCs w:val="false"/>
      <w:i w:val="false"/>
      <w:iCs w:val="false"/>
      <w:caps w:val="false"/>
      <w:color w:val="56606E"/>
      <w:sz w:val="18"/>
      <w:szCs w:val="18"/>
    </w:rPr>
  </w:style>
  <w:style w:type="paragraph" w:styleId="Footer">
    <w:name w:val="Footer"/>
    <w:basedOn w:val="Normal"/>
    <w:qFormat/>
    <w:pPr>
      <w:suppressAutoHyphens/>
      <w:spacing w:before="0" w:after="0" w:line="288" w:lineRule="auto"/>
      <w:ind w:left="0" w:right="0" w:firstLine="0"/>
      <w:jc w:val="left"/>
    </w:pPr>
    <w:rPr>
      <w:rFonts w:ascii="Inter" w:hAnsi="Inter"/>
      <w:b w:val="false"/>
      <w:bCs w:val="false"/>
      <w:i w:val="false"/>
      <w:iCs w:val="false"/>
      <w:caps w:val="false"/>
      <w:color w:val="56606E"/>
      <w:sz w:val="18"/>
      <w:szCs w:val="18"/>
    </w:rPr>
  </w:style>
  <w:style w:type="character" w:styleId="InlineCode" w:customStyle="true">
    <w:name w:val="Inline Code"/>
    <w:basedOn w:val="DefaultParagraphFont"/>
    <w:uiPriority w:val="99"/>
    <w:unhideWhenUsed/>
    <w:rPr>
      <w:rFonts w:ascii="JetBrains Mono" w:hAnsi="JetBrains Mono"/>
      <w:color w:val="1F2937"/>
      <w:sz w:val="17"/>
      <w:szCs w:val="17"/>
      <w:shd w:val="clear" w:color="auto" w:fill="F3F6FA"/>
    </w:rPr>
  </w:style>
  <w:style w:type="character" w:styleId="Hyperlink">
    <w:name w:val="Hyperlink"/>
    <w:basedOn w:val="DefaultParagraphFont"/>
    <w:uiPriority w:val="99"/>
    <w:unhideWhenUsed/>
    <w:rPr>
      <w:color w:val="1A56B8"/>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dcd25192e41845c3" /><Relationship Type="http://schemas.openxmlformats.org/officeDocument/2006/relationships/footer" Target="/word/footer1.xml" Id="R2b64df1bf35241e8" /><Relationship Type="http://schemas.openxmlformats.org/officeDocument/2006/relationships/numbering" Target="/word/numbering.xml" Id="R5810983073ad4dd1" /><Relationship Type="http://schemas.openxmlformats.org/officeDocument/2006/relationships/fontTable" Target="/word/fontTable.xml" Id="R78c7684455684b5b" /><Relationship Type="http://schemas.openxmlformats.org/officeDocument/2006/relationships/settings" Target="/word/settings.xml" Id="R132c2b57078542a9" /></Relationships>
</file>