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e577f7f0e1c48a0" /></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Pr>
      <w:tblGrid>
        <w:gridCol w:w="11906"/>
      </w:tblGrid>
      <w:tr>
        <w:trPr>
          <w:cantSplit/>
          <w:trHeight w:val="7699" w:hRule="atLeast"/>
        </w:trPr>
        <w:tc>
          <w:tcPr>
            <w:tcW w:w="11906" w:type="dxa"/>
            <w:shd w:val="clear" w:color="auto" w:fill="0B2A5C"/>
            <w:tcMar>
              <w:top w:w="1440" w:type="dxa"/>
              <w:left w:w="1440" w:type="dxa"/>
              <w:bottom w:w="280" w:type="dxa"/>
              <w:right w:w="1440" w:type="dxa"/>
            </w:tcMar>
            <w:vAlign w:val="bottom"/>
          </w:tcPr>
          <w:p>
            <w:pPr>
              <w:pStyle w:val="Title"/>
              <w:jc w:val="left"/>
            </w:pPr>
            <w:r>
              <w:rPr>
                <w:lang w:val="en-US"/>
              </w:rPr>
              <w:t xml:space="preserve">First Steps to Protect Customer Personal Information: A Case Report for a Small Business Owner</w:t>
            </w:r>
          </w:p>
          <w:p>
            <w:pPr>
              <w:pStyle w:val="CoverRule"/>
              <w:keepNext/>
              <w:pBdr>
                <w:bottom w:val="single" w:color="E8620C" w:sz="24" w:space="0"/>
              </w:pBdr>
              <w:spacing w:before="120" w:after="0" w:line="20" w:lineRule="exact"/>
              <w:ind w:left="0" w:right="8546" w:firstLine="0"/>
              <w:rPr>
                <w:sz w:val="2"/>
                <w:szCs w:val="2"/>
              </w:rPr>
            </w:pPr>
          </w:p>
        </w:tc>
      </w:tr>
      <w:tr>
        <w:trPr>
          <w:cantSplit/>
          <w:trHeight w:val="6639" w:hRule="atLeast"/>
        </w:trPr>
        <w:tc>
          <w:tcPr>
            <w:tcW w:w="11906" w:type="dxa"/>
            <w:tcMar>
              <w:top w:w="400" w:type="dxa"/>
              <w:left w:w="1440" w:type="dxa"/>
              <w:bottom w:w="0" w:type="dxa"/>
              <w:right w:w="1440" w:type="dxa"/>
            </w:tcMar>
            <w:vAlign w:val="top"/>
          </w:tcPr>
          <w:p>
            <w:pPr>
              <w:spacing w:before="0" w:after="0" w:line="20" w:lineRule="exact"/>
              <w:rPr>
                <w:sz w:val="2"/>
                <w:szCs w:val="2"/>
              </w:rPr>
            </w:pPr>
          </w:p>
        </w:tc>
      </w:tr>
      <w:tr>
        <w:trPr>
          <w:cantSplit/>
          <w:trHeight w:val="2340" w:hRule="atLeast"/>
        </w:trPr>
        <w:tc>
          <w:tcPr>
            <w:tcW w:w="11906" w:type="dxa"/>
            <w:tcMar>
              <w:top w:w="0" w:type="dxa"/>
              <w:left w:w="1440" w:type="dxa"/>
              <w:bottom w:w="1440" w:type="dxa"/>
              <w:right w:w="1440" w:type="dxa"/>
            </w:tcMar>
            <w:vAlign w:val="bottom"/>
          </w:tcPr>
          <w:p>
            <w:pPr>
              <w:pStyle w:val="CoverMeta"/>
              <w:spacing w:before="0"/>
              <w:jc w:val="left"/>
            </w:pPr>
            <w:r>
              <w:rPr>
                <w:lang w:val="en-US"/>
              </w:rPr>
              <w:t xml:space="preserve">October 03,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TOCHeading"/>
      </w:pPr>
      <w:r>
        <w:rPr>
          <w:lang w:val="en-US"/>
        </w:rPr>
        <w:t xml:space="preserve">Table of Contents</w:t>
      </w:r>
    </w:p>
    <w:p>
      <w:pPr>
        <w:pStyle w:val="TOC1"/>
      </w:pPr>
      <w:r>
        <w:rPr>
          <w:lang w:val="en-US"/>
        </w:rPr>
        <w:t xml:space="preserve">Executive Summary</w:t>
      </w:r>
    </w:p>
    <w:p>
      <w:pPr>
        <w:pStyle w:val="TOC1"/>
      </w:pPr>
      <w:r>
        <w:rPr>
          <w:lang w:val="en-US"/>
        </w:rPr>
        <w:t xml:space="preserve">Problem Statement and Engagement Scope</w:t>
      </w:r>
    </w:p>
    <w:p>
      <w:pPr>
        <w:pStyle w:val="TOC2"/>
      </w:pPr>
      <w:r>
        <w:rPr>
          <w:lang w:val="en-US"/>
        </w:rPr>
        <w:t xml:space="preserve">Decision problem</w:t>
      </w:r>
    </w:p>
    <w:p>
      <w:pPr>
        <w:pStyle w:val="TOC2"/>
      </w:pPr>
      <w:r>
        <w:rPr>
          <w:lang w:val="en-US"/>
        </w:rPr>
        <w:t xml:space="preserve">In scope</w:t>
      </w:r>
    </w:p>
    <w:p>
      <w:pPr>
        <w:pStyle w:val="TOC2"/>
      </w:pPr>
      <w:r>
        <w:rPr>
          <w:lang w:val="en-US"/>
        </w:rPr>
        <w:t xml:space="preserve">Out of scope</w:t>
      </w:r>
    </w:p>
    <w:p>
      <w:pPr>
        <w:pStyle w:val="TOC2"/>
      </w:pPr>
      <w:r>
        <w:rPr>
          <w:lang w:val="en-US"/>
        </w:rPr>
        <w:t xml:space="preserve">Success criteria</w:t>
      </w:r>
    </w:p>
    <w:p>
      <w:pPr>
        <w:pStyle w:val="TOC1"/>
      </w:pPr>
      <w:r>
        <w:rPr>
          <w:lang w:val="en-US"/>
        </w:rPr>
        <w:t xml:space="preserve">Methodology and Approach</w:t>
      </w:r>
    </w:p>
    <w:p>
      <w:pPr>
        <w:pStyle w:val="TOC1"/>
      </w:pPr>
      <w:r>
        <w:rPr>
          <w:lang w:val="en-US"/>
        </w:rPr>
        <w:t xml:space="preserve">Current-State Analysis</w:t>
      </w:r>
    </w:p>
    <w:p>
      <w:pPr>
        <w:pStyle w:val="TOC2"/>
      </w:pPr>
      <w:r>
        <w:rPr>
          <w:lang w:val="en-US"/>
        </w:rPr>
        <w:t xml:space="preserve">Baseline and exposure profile</w:t>
      </w:r>
    </w:p>
    <w:p>
      <w:pPr>
        <w:pStyle w:val="TOC2"/>
      </w:pPr>
      <w:r>
        <w:rPr>
          <w:lang w:val="en-US"/>
        </w:rPr>
        <w:t xml:space="preserve">Information visibility gap</w:t>
      </w:r>
    </w:p>
    <w:p>
      <w:pPr>
        <w:pStyle w:val="TOC2"/>
      </w:pPr>
      <w:r>
        <w:rPr>
          <w:lang w:val="en-US"/>
        </w:rPr>
        <w:t xml:space="preserve">Control and readiness gap</w:t>
      </w:r>
    </w:p>
    <w:p>
      <w:pPr>
        <w:pStyle w:val="TOC2"/>
      </w:pPr>
      <w:r>
        <w:rPr>
          <w:lang w:val="en-US"/>
        </w:rPr>
        <w:t xml:space="preserve">Response-readiness gap</w:t>
      </w:r>
    </w:p>
    <w:p>
      <w:pPr>
        <w:pStyle w:val="TOC1"/>
      </w:pPr>
      <w:r>
        <w:rPr>
          <w:lang w:val="en-US"/>
        </w:rPr>
        <w:t xml:space="preserve">Key Findings</w:t>
      </w:r>
    </w:p>
    <w:p>
      <w:pPr>
        <w:pStyle w:val="TOC1"/>
      </w:pPr>
      <w:r>
        <w:rPr>
          <w:lang w:val="en-US"/>
        </w:rPr>
        <w:t xml:space="preserve">Options Considered</w:t>
      </w:r>
    </w:p>
    <w:p>
      <w:pPr>
        <w:pStyle w:val="TOC2"/>
      </w:pPr>
      <w:r>
        <w:rPr>
          <w:lang w:val="en-US"/>
        </w:rPr>
        <w:t xml:space="preserve">Status quo</w:t>
      </w:r>
    </w:p>
    <w:p>
      <w:pPr>
        <w:pStyle w:val="TOC2"/>
      </w:pPr>
      <w:r>
        <w:rPr>
          <w:lang w:val="en-US"/>
        </w:rPr>
        <w:t xml:space="preserve">Inventory only</w:t>
      </w:r>
    </w:p>
    <w:p>
      <w:pPr>
        <w:pStyle w:val="TOC2"/>
      </w:pPr>
      <w:r>
        <w:rPr>
          <w:lang w:val="en-US"/>
        </w:rPr>
        <w:t xml:space="preserve">Immediate safeguard-only program</w:t>
      </w:r>
    </w:p>
    <w:p>
      <w:pPr>
        <w:pStyle w:val="TOC2"/>
      </w:pPr>
      <w:r>
        <w:rPr>
          <w:lang w:val="en-US"/>
        </w:rPr>
        <w:t xml:space="preserve">Response plan only</w:t>
      </w:r>
    </w:p>
    <w:p>
      <w:pPr>
        <w:pStyle w:val="TOC2"/>
      </w:pPr>
      <w:r>
        <w:rPr>
          <w:lang w:val="en-US"/>
        </w:rPr>
        <w:t xml:space="preserve">Sequenced program</w:t>
      </w:r>
    </w:p>
    <w:p>
      <w:pPr>
        <w:pStyle w:val="TOC1"/>
      </w:pPr>
      <w:r>
        <w:rPr>
          <w:lang w:val="en-US"/>
        </w:rPr>
        <w:t xml:space="preserve">Recommendation</w:t>
      </w:r>
    </w:p>
    <w:p>
      <w:pPr>
        <w:pStyle w:val="TOC2"/>
      </w:pPr>
      <w:r>
        <w:rPr>
          <w:lang w:val="en-US"/>
        </w:rPr>
        <w:t xml:space="preserve">Rationale</w:t>
      </w:r>
    </w:p>
    <w:p>
      <w:pPr>
        <w:pStyle w:val="TOC2"/>
      </w:pPr>
      <w:r>
        <w:rPr>
          <w:lang w:val="en-US"/>
        </w:rPr>
        <w:t xml:space="preserve">Accepted trade-offs and opportunity cost</w:t>
      </w:r>
    </w:p>
    <w:p>
      <w:pPr>
        <w:pStyle w:val="TOC2"/>
      </w:pPr>
      <w:r>
        <w:rPr>
          <w:lang w:val="en-US"/>
        </w:rPr>
        <w:t xml:space="preserve">Rejected alternatives</w:t>
      </w:r>
    </w:p>
    <w:p>
      <w:pPr>
        <w:pStyle w:val="TOC2"/>
      </w:pPr>
      <w:r>
        <w:rPr>
          <w:lang w:val="en-US"/>
        </w:rPr>
        <w:t xml:space="preserve">Confidence and reversal conditions</w:t>
      </w:r>
    </w:p>
    <w:p>
      <w:pPr>
        <w:pStyle w:val="TOC2"/>
      </w:pPr>
      <w:r>
        <w:rPr>
          <w:lang w:val="en-US"/>
        </w:rPr>
        <w:t xml:space="preserve">Pre-mortem</w:t>
      </w:r>
    </w:p>
    <w:p>
      <w:pPr>
        <w:pStyle w:val="TOC1"/>
      </w:pPr>
      <w:r>
        <w:rPr>
          <w:lang w:val="en-US"/>
        </w:rPr>
        <w:t xml:space="preserve">Risks, Assumptions, and Dependencies</w:t>
      </w:r>
    </w:p>
    <w:p>
      <w:pPr>
        <w:pStyle w:val="TOC2"/>
      </w:pPr>
      <w:r>
        <w:rPr>
          <w:lang w:val="en-US"/>
        </w:rPr>
        <w:t xml:space="preserve">Risks</w:t>
      </w:r>
    </w:p>
    <w:p>
      <w:pPr>
        <w:pStyle w:val="TOC2"/>
      </w:pPr>
      <w:r>
        <w:rPr>
          <w:lang w:val="en-US"/>
        </w:rPr>
        <w:t xml:space="preserve">Assumptions</w:t>
      </w:r>
    </w:p>
    <w:p>
      <w:pPr>
        <w:pStyle w:val="TOC2"/>
      </w:pPr>
      <w:r>
        <w:rPr>
          <w:lang w:val="en-US"/>
        </w:rPr>
        <w:t xml:space="preserve">Dependencies</w:t>
      </w:r>
    </w:p>
    <w:p>
      <w:pPr>
        <w:pStyle w:val="TOC1"/>
      </w:pPr>
      <w:r>
        <w:rPr>
          <w:lang w:val="en-US"/>
        </w:rPr>
        <w:t xml:space="preserve">Implementation Roadmap</w:t>
      </w:r>
    </w:p>
    <w:p>
      <w:pPr>
        <w:pStyle w:val="TOC1"/>
      </w:pPr>
      <w:r>
        <w:rPr>
          <w:lang w:val="en-US"/>
        </w:rPr>
        <w:t xml:space="preserve">Next Steps</w:t>
      </w:r>
    </w:p>
    <w:p>
      <w:pPr>
        <w:pStyle w:val="TOC1"/>
      </w:pPr>
      <w:r>
        <w:rPr>
          <w:lang w:val="en-US"/>
        </w:rPr>
        <w:t xml:space="preserve">Disclaimers and Limitations</w:t>
      </w:r>
    </w:p>
    <w:p>
      <w:pPr>
        <w:pStyle w:val="TOC1"/>
      </w:pPr>
      <w:r>
        <w:rPr>
          <w:lang w:val="en-US"/>
        </w:rPr>
        <w:t xml:space="preserve">Sources</w:t>
      </w:r>
    </w:p>
    <w:p>
      <w:r>
        <w:br w:type="page"/>
      </w:r>
    </w:p>
    <w:p>
      <w:pPr>
        <w:pStyle w:val="Heading2"/>
        <w:outlineLvl w:val="1"/>
      </w:pPr>
      <w:r>
        <w:rPr>
          <w:lang w:val="en-US"/>
        </w:rPr>
        <w:t xml:space="preserve">Executive Summary</w:t>
      </w:r>
    </w:p>
    <w:p>
      <w:pPr>
        <w:pStyle w:val="Normal"/>
      </w:pPr>
      <w:r>
        <w:rPr>
          <w:b/>
          <w:lang w:val="en-US"/>
        </w:rPr>
        <w:t xml:space="preserve">Decision:</w:t>
      </w:r>
      <w:r>
        <w:rPr>
          <w:lang w:val="en-US"/>
        </w:rPr>
        <w:t xml:space="preserve"> The owner should initiate a sequenced, owner-led information protection program during the next quarter. Start with a rapid inventory of customer personal information and access paths. Then remove unnecessary retained information, apply immediate practical safeguards, and complete a concise incident response plan.</w:t>
      </w:r>
    </w:p>
    <w:p>
      <w:pPr>
        <w:pStyle w:val="Normal"/>
      </w:pPr>
      <w:r>
        <w:rPr>
          <w:lang w:val="en-US"/>
        </w:rPr>
        <w:t xml:space="preserve">Recommendation</w:t>
      </w:r>
    </w:p>
    <w:p>
      <w:pPr>
        <w:pStyle w:val="Normal"/>
      </w:pPr>
      <w:r>
        <w:rPr>
          <w:lang w:val="en-US"/>
        </w:rPr>
        <w:t xml:space="preserve">Begin with visibility, reduce unnecessary data, protect information that must remain, and prepare for exposure. Accept modest near-term staff effort to reduce unmanaged exposure and improve response readiness. Confidence: moderate to high. Reassess if the inventory reveals unusually sensitive data, extensive third-party access, or legal retention requirements.</w:t>
      </w:r>
    </w:p>
    <w:p>
      <w:pPr>
        <w:pStyle w:val="Normal"/>
      </w:pPr>
      <w:r>
        <w:rPr>
          <w:lang w:val="en-US"/>
        </w:rPr>
        <w:t xml:space="preserve">[Fact] The FTC presents five connected principles for a sound security program: take stock, scale down, lock it, pitch it, and plan ahead. [1] [Inference] These principles should be treated as a sequenced package, not as mutually exclusive alternatives.</w:t>
      </w:r>
    </w:p>
    <w:p>
      <w:pPr>
        <w:pStyle w:val="Normal"/>
      </w:pPr>
      <w:r>
        <w:rPr>
          <w:lang w:val="en-US"/>
        </w:rPr>
        <w:t xml:space="preserve">[Assumption] The business stores customer personal information in paper files and computers, has limited specialist security capacity, and must act within a constrained next-quarter budget. [Inference] Those conditions favor a practical baseline assessment and focused controls over a large, undifferentiated security project.</w:t>
      </w:r>
    </w:p>
    <w:p>
      <w:pPr>
        <w:pStyle w:val="Normal"/>
      </w:pPr>
      <w:r>
        <w:rPr>
          <w:lang w:val="en-US"/>
        </w:rPr>
        <w:t xml:space="preserve">[Fact] Sensitive data in the wrong hands can lead to fraud, identity theft, or similar harms. A breach can also cause lost customer trust and possible legal action. [1] [Inference] The decision has asymmetric consequences. Deferring modest preventive work can create difficult-to-reverse consequences if information is exposed.</w:t>
      </w:r>
    </w:p>
    <w:p>
      <w:pPr>
        <w:pStyle w:val="Normal"/>
      </w:pPr>
      <w:r>
        <w:rPr>
          <w:lang w:val="en-US"/>
        </w:rPr>
        <w:t xml:space="preserve">The recommended sequence has four priorities:</w:t>
      </w:r>
    </w:p>
    <w:p>
      <w:pPr>
        <w:pStyle w:val="ListParagraph"/>
        <w:numPr>
          <w:ilvl w:val="0"/>
          <w:numId w:val="1"/>
        </w:numPr>
        <w:ind w:left="360" w:hanging="240"/>
      </w:pPr>
      <w:r>
        <w:rPr>
          <w:lang w:val="en-US"/>
        </w:rPr>
        <w:t xml:space="preserve">Establish a usable inventory of information types, locations, flows, access holders, devices, paper records, and service providers.</w:t>
      </w:r>
    </w:p>
    <w:p>
      <w:pPr>
        <w:pStyle w:val="ListParagraph"/>
        <w:numPr>
          <w:ilvl w:val="0"/>
          <w:numId w:val="1"/>
        </w:numPr>
        <w:ind w:left="360" w:hanging="240"/>
      </w:pPr>
      <w:r>
        <w:rPr>
          <w:lang w:val="en-US"/>
        </w:rPr>
        <w:t xml:space="preserve">Eliminate information and access that lack a legitimate business need, subject to validated retention requirements.</w:t>
      </w:r>
    </w:p>
    <w:p>
      <w:pPr>
        <w:pStyle w:val="ListParagraph"/>
        <w:numPr>
          <w:ilvl w:val="0"/>
          <w:numId w:val="1"/>
        </w:numPr>
        <w:ind w:left="360" w:hanging="240"/>
      </w:pPr>
      <w:r>
        <w:rPr>
          <w:lang w:val="en-US"/>
        </w:rPr>
        <w:t xml:space="preserve">Apply immediate safeguards to high-sensitivity information and obvious exposure points.</w:t>
      </w:r>
    </w:p>
    <w:p>
      <w:pPr>
        <w:pStyle w:val="ListParagraph"/>
        <w:numPr>
          <w:ilvl w:val="0"/>
          <w:numId w:val="1"/>
        </w:numPr>
        <w:ind w:left="360" w:hanging="240"/>
      </w:pPr>
      <w:r>
        <w:rPr>
          <w:lang w:val="en-US"/>
        </w:rPr>
        <w:t xml:space="preserve">Assign incident authority and document containment, investigation, communications, and notification procedures.</w:t>
      </w:r>
    </w:p>
    <w:p>
      <w:pPr>
        <w:pStyle w:val="Normal"/>
      </w:pPr>
      <w:r>
        <w:rPr>
          <w:lang w:val="en-US"/>
        </w:rPr>
        <w:t xml:space="preserve">[Inference] The program creates value through three mechanisms. It reduces the quantity of information available for compromise. It lowers the likelihood of unauthorized access to retained information. It improves the speed and quality of decisions if an incident occurs.</w:t>
      </w:r>
    </w:p>
    <w:p>
      <w:pPr>
        <w:pStyle w:val="Normal"/>
      </w:pPr>
      <w:r>
        <w:rPr>
          <w:lang w:val="en-US"/>
        </w:rPr>
        <w:t xml:space="preserve">[Assumption] No business-specific incident probability, record volume, implementation cost, or loss value is available. Therefore, a quantified expected-value calculation is not supportable. [Inference] The recommendation remains proportionate because the FTC identifies several useful controls, including strong passwords, locked paperwork, and workforce training, as measures that can cost next to nothing. [1]</w:t>
      </w:r>
    </w:p>
    <w:p>
      <w:pPr>
        <w:pStyle w:val="Normal"/>
      </w:pPr>
      <w:r>
        <w:rPr>
          <w:lang w:val="en-US"/>
        </w:rPr>
        <w:t xml:space="preserve">The accepted trade-off is near-term management attention and staff time. The opportunity cost is that staff will spend time on inventory, retention decisions, access reviews, and training instead of routine operating work. [Inference] That cost is justified because the status quo leaves the owner unable to verify what information is held, where it is stored, who can access it, or how to respond coherently after exposure.</w:t>
      </w:r>
    </w:p>
    <w:p>
      <w:pPr>
        <w:pStyle w:val="Normal"/>
      </w:pPr>
      <w:r>
        <w:rPr>
          <w:lang w:val="en-US"/>
        </w:rPr>
        <w:t xml:space="preserve">The recommendation is largely reversible. Inventory, access reviews, training, and response planning can be adjusted as facts emerge. [Inference] Disposal is the principal irreversible action. The business should not destroy information until it has validated operational, legal, contractual, and records-retention requirements.</w:t>
      </w:r>
    </w:p>
    <w:p>
      <w:pPr>
        <w:pStyle w:val="Normal"/>
      </w:pPr>
      <w:r>
        <w:rPr>
          <w:lang w:val="en-US"/>
        </w:rPr>
        <w:t xml:space="preserve">Confidence is moderate to high for the sequencing decision. Confidence is moderate for the precise control set because the business's information types, current safeguards, providers, and retention obligations are unknown. The answer would change if the inventory identifies highly sensitive information, extensive remote access, insecure service-provider arrangements, or requirements demanding specialized assistance.</w:t>
      </w:r>
    </w:p>
    <w:p>
      <w:pPr>
        <w:pStyle w:val="Heading2"/>
        <w:outlineLvl w:val="1"/>
      </w:pPr>
      <w:r>
        <w:rPr>
          <w:lang w:val="en-US"/>
        </w:rPr>
        <w:t xml:space="preserve">Problem Statement and Engagement Scope</w:t>
      </w:r>
    </w:p>
    <w:p>
      <w:pPr>
        <w:pStyle w:val="Heading3"/>
        <w:outlineLvl w:val="2"/>
      </w:pPr>
      <w:r>
        <w:rPr>
          <w:lang w:val="en-US"/>
        </w:rPr>
        <w:t xml:space="preserve">Decision problem</w:t>
      </w:r>
    </w:p>
    <w:p>
      <w:pPr>
        <w:pStyle w:val="Normal"/>
      </w:pPr>
      <w:r>
        <w:rPr>
          <w:lang w:val="en-US"/>
        </w:rPr>
        <w:t xml:space="preserve">[Assumption] The owner must choose which actions to take first during the next quarter to protect stored customer personal information and limit harm if that information is exposed. The central challenge is prioritization under limited time, budget, and specialist capacity.</w:t>
      </w:r>
    </w:p>
    <w:p>
      <w:pPr>
        <w:pStyle w:val="Normal"/>
      </w:pPr>
      <w:r>
        <w:rPr>
          <w:lang w:val="en-US"/>
        </w:rPr>
        <w:t xml:space="preserve">[Fact] Effective data security begins with assessing the information a business has and identifying who has access to it. Understanding how personal information enters, moves through, and leaves the business is essential to assessing security vulnerabilities. [1]</w:t>
      </w:r>
    </w:p>
    <w:p>
      <w:pPr>
        <w:pStyle w:val="Heading3"/>
        <w:outlineLvl w:val="2"/>
      </w:pPr>
      <w:r>
        <w:rPr>
          <w:lang w:val="en-US"/>
        </w:rPr>
        <w:t xml:space="preserve">In scope</w:t>
      </w:r>
    </w:p>
    <w:p>
      <w:pPr>
        <w:pStyle w:val="ListParagraph"/>
        <w:numPr>
          <w:ilvl w:val="0"/>
          <w:numId w:val="2"/>
        </w:numPr>
        <w:ind w:left="360" w:hanging="240"/>
      </w:pPr>
      <w:r>
        <w:rPr>
          <w:lang w:val="en-US"/>
        </w:rPr>
        <w:t xml:space="preserve">Customer personal information in paper and electronic environments.</w:t>
      </w:r>
    </w:p>
    <w:p>
      <w:pPr>
        <w:pStyle w:val="ListParagraph"/>
        <w:numPr>
          <w:ilvl w:val="0"/>
          <w:numId w:val="2"/>
        </w:numPr>
        <w:ind w:left="360" w:hanging="240"/>
      </w:pPr>
      <w:r>
        <w:rPr>
          <w:lang w:val="en-US"/>
        </w:rPr>
        <w:t xml:space="preserve">Information collection, storage, access, retention, disposal, and incident response.</w:t>
      </w:r>
    </w:p>
    <w:p>
      <w:pPr>
        <w:pStyle w:val="ListParagraph"/>
        <w:numPr>
          <w:ilvl w:val="0"/>
          <w:numId w:val="2"/>
        </w:numPr>
        <w:ind w:left="360" w:hanging="240"/>
      </w:pPr>
      <w:r>
        <w:rPr>
          <w:lang w:val="en-US"/>
        </w:rPr>
        <w:t xml:space="preserve">Employee, contractor, and service-provider access to customer information.</w:t>
      </w:r>
    </w:p>
    <w:p>
      <w:pPr>
        <w:pStyle w:val="ListParagraph"/>
        <w:numPr>
          <w:ilvl w:val="0"/>
          <w:numId w:val="2"/>
        </w:numPr>
        <w:ind w:left="360" w:hanging="240"/>
      </w:pPr>
      <w:r>
        <w:rPr>
          <w:lang w:val="en-US"/>
        </w:rPr>
        <w:t xml:space="preserve">Practical physical, electronic, workforce, and provider controls.</w:t>
      </w:r>
    </w:p>
    <w:p>
      <w:pPr>
        <w:pStyle w:val="ListParagraph"/>
        <w:numPr>
          <w:ilvl w:val="0"/>
          <w:numId w:val="2"/>
        </w:numPr>
        <w:ind w:left="360" w:hanging="240"/>
      </w:pPr>
      <w:r>
        <w:rPr>
          <w:lang w:val="en-US"/>
        </w:rPr>
        <w:t xml:space="preserve">Owner-level governance, accountability, and next-quarter sequencing.</w:t>
      </w:r>
    </w:p>
    <w:p>
      <w:pPr>
        <w:pStyle w:val="Heading3"/>
        <w:outlineLvl w:val="2"/>
      </w:pPr>
      <w:r>
        <w:rPr>
          <w:lang w:val="en-US"/>
        </w:rPr>
        <w:t xml:space="preserve">Out of scope</w:t>
      </w:r>
    </w:p>
    <w:p>
      <w:pPr>
        <w:pStyle w:val="ListParagraph"/>
        <w:numPr>
          <w:ilvl w:val="0"/>
          <w:numId w:val="3"/>
        </w:numPr>
        <w:ind w:left="360" w:hanging="240"/>
      </w:pPr>
      <w:r>
        <w:rPr>
          <w:lang w:val="en-US"/>
        </w:rPr>
        <w:t xml:space="preserve">Business-specific legal advice, notification determinations, or retention-period determinations.</w:t>
      </w:r>
    </w:p>
    <w:p>
      <w:pPr>
        <w:pStyle w:val="ListParagraph"/>
        <w:numPr>
          <w:ilvl w:val="0"/>
          <w:numId w:val="3"/>
        </w:numPr>
        <w:ind w:left="360" w:hanging="240"/>
      </w:pPr>
      <w:r>
        <w:rPr>
          <w:lang w:val="en-US"/>
        </w:rPr>
        <w:t xml:space="preserve">Forensic investigation of an actual incident.</w:t>
      </w:r>
    </w:p>
    <w:p>
      <w:pPr>
        <w:pStyle w:val="ListParagraph"/>
        <w:numPr>
          <w:ilvl w:val="0"/>
          <w:numId w:val="3"/>
        </w:numPr>
        <w:ind w:left="360" w:hanging="240"/>
      </w:pPr>
      <w:r>
        <w:rPr>
          <w:lang w:val="en-US"/>
        </w:rPr>
        <w:t xml:space="preserve">Technical testing, system configuration, or independent security audit execution.</w:t>
      </w:r>
    </w:p>
    <w:p>
      <w:pPr>
        <w:pStyle w:val="ListParagraph"/>
        <w:numPr>
          <w:ilvl w:val="0"/>
          <w:numId w:val="3"/>
        </w:numPr>
        <w:ind w:left="360" w:hanging="240"/>
      </w:pPr>
      <w:r>
        <w:rPr>
          <w:lang w:val="en-US"/>
        </w:rPr>
        <w:t xml:space="preserve">Cost estimates, implementation staffing estimates, and quantified risk modeling.</w:t>
      </w:r>
    </w:p>
    <w:p>
      <w:pPr>
        <w:pStyle w:val="ListParagraph"/>
        <w:numPr>
          <w:ilvl w:val="0"/>
          <w:numId w:val="3"/>
        </w:numPr>
        <w:ind w:left="360" w:hanging="240"/>
      </w:pPr>
      <w:r>
        <w:rPr>
          <w:lang w:val="en-US"/>
        </w:rPr>
        <w:t xml:space="preserve">Representations that the recommended actions satisfy every legal, contractual, or industry obligation.</w:t>
      </w:r>
    </w:p>
    <w:p>
      <w:pPr>
        <w:pStyle w:val="Heading3"/>
        <w:outlineLvl w:val="2"/>
      </w:pPr>
      <w:r>
        <w:rPr>
          <w:lang w:val="en-US"/>
        </w:rPr>
        <w:t xml:space="preserve">Success criteria</w:t>
      </w:r>
    </w:p>
    <w:p>
      <w:pPr>
        <w:pStyle w:val="Normal"/>
      </w:pPr>
      <w:r>
        <w:rPr>
          <w:lang w:val="en-US"/>
        </w:rPr>
        <w:t xml:space="preserve">[Assumption] Success means the owner can identify the business's material information holdings, reduce avoidable retention, establish basic protection for necessary information, and direct an organized response if exposure occurs.</w:t>
      </w:r>
    </w:p>
    <w:p>
      <w:pPr>
        <w:pStyle w:val="Normal"/>
      </w:pPr>
      <w:r>
        <w:rPr>
          <w:lang w:val="en-US"/>
        </w:rPr>
        <w:t xml:space="preserve">[Inference] A successful next quarter should leave the business with a verified baseline, assigned owners, written decisions, a prioritized remediation list, and a usable incident response procedure.</w:t>
      </w:r>
    </w:p>
    <w:p>
      <w:pPr>
        <w:pStyle w:val="Heading2"/>
        <w:outlineLvl w:val="1"/>
      </w:pPr>
      <w:r>
        <w:rPr>
          <w:lang w:val="en-US"/>
        </w:rPr>
        <w:t xml:space="preserve">Methodology and Approach</w:t>
      </w:r>
    </w:p>
    <w:p>
      <w:pPr>
        <w:pStyle w:val="Normal"/>
      </w:pPr>
      <w:r>
        <w:rPr>
          <w:lang w:val="en-US"/>
        </w:rPr>
        <w:t xml:space="preserve">This assessment uses the supplied FTC materials as the factual basis. The analysis applies the FTC's stated principles to the decision sequence facing a small business. [Fact] The FTC states that appropriate safeguards depend on the nature of the business and the information collected, rather than prescribing one approach for every business. [1]</w:t>
      </w:r>
    </w:p>
    <w:p>
      <w:pPr>
        <w:pStyle w:val="Normal"/>
      </w:pPr>
      <w:r>
        <w:rPr>
          <w:lang w:val="en-US"/>
        </w:rPr>
        <w:t xml:space="preserve">The approach follows four steps:</w:t>
      </w:r>
    </w:p>
    <w:p>
      <w:pPr>
        <w:pStyle w:val="ListParagraph"/>
        <w:numPr>
          <w:ilvl w:val="0"/>
          <w:numId w:val="4"/>
        </w:numPr>
        <w:ind w:left="360" w:hanging="240"/>
      </w:pPr>
      <w:r>
        <w:rPr>
          <w:lang w:val="en-US"/>
        </w:rPr>
        <w:t xml:space="preserve">Identify the information lifecycle, including collection, storage, access, transmission, retention, disposal, and exposure response.</w:t>
      </w:r>
    </w:p>
    <w:p>
      <w:pPr>
        <w:pStyle w:val="ListParagraph"/>
        <w:numPr>
          <w:ilvl w:val="0"/>
          <w:numId w:val="4"/>
        </w:numPr>
        <w:ind w:left="360" w:hanging="240"/>
      </w:pPr>
      <w:r>
        <w:rPr>
          <w:lang w:val="en-US"/>
        </w:rPr>
        <w:t xml:space="preserve">Separate source-supported facts from conclusions and unverified case conditions.</w:t>
      </w:r>
    </w:p>
    <w:p>
      <w:pPr>
        <w:pStyle w:val="ListParagraph"/>
        <w:numPr>
          <w:ilvl w:val="0"/>
          <w:numId w:val="4"/>
        </w:numPr>
        <w:ind w:left="360" w:hanging="240"/>
      </w:pPr>
      <w:r>
        <w:rPr>
          <w:lang w:val="en-US"/>
        </w:rPr>
        <w:t xml:space="preserve">Compare alternatives against reduction of information at risk, practicality for a small team, response readiness, reversibility, and opportunity cost.</w:t>
      </w:r>
    </w:p>
    <w:p>
      <w:pPr>
        <w:pStyle w:val="ListParagraph"/>
        <w:numPr>
          <w:ilvl w:val="0"/>
          <w:numId w:val="4"/>
        </w:numPr>
        <w:ind w:left="360" w:hanging="240"/>
      </w:pPr>
      <w:r>
        <w:rPr>
          <w:lang w:val="en-US"/>
        </w:rPr>
        <w:t xml:space="preserve">Recommend a staged sequence that preserves flexibility while addressing material exposure pathways early.</w:t>
      </w:r>
    </w:p>
    <w:p>
      <w:pPr>
        <w:pStyle w:val="Normal"/>
      </w:pPr>
      <w:r>
        <w:rPr>
          <w:lang w:val="en-US"/>
        </w:rPr>
        <w:t xml:space="preserve">[Fact] The FTC advises businesses to inventory information by type and location, including paper files, computer systems, devices, websites, contractors, employee home computers, and portable media. [1] [Inference] The inventory is used here as the baseline decision instrument because later controls require knowledge of what must be protected.</w:t>
      </w:r>
    </w:p>
    <w:p>
      <w:pPr>
        <w:pStyle w:val="Normal"/>
      </w:pPr>
      <w:r>
        <w:rPr>
          <w:lang w:val="en-US"/>
        </w:rPr>
        <w:t xml:space="preserve">No reliable external base rate for breach likelihood, control effectiveness, or business loss was provided. [Assumption] Probability estimates are therefore qualitative judgments, not actuarial estimates. [Inference] The report uses relative likelihood and impact descriptions only, and does not represent them as measured probabilities.</w:t>
      </w:r>
    </w:p>
    <w:p>
      <w:pPr>
        <w:pStyle w:val="Normal"/>
      </w:pPr>
      <w:r>
        <w:rPr>
          <w:lang w:val="en-US"/>
        </w:rPr>
        <w:t xml:space="preserve">Evidence gaps are treated as decision conditions. They are not filled with assumed technical facts. Where current practices are unknown, the report recommends verification before irreversible or specialized action.</w:t>
      </w:r>
    </w:p>
    <w:p>
      <w:pPr>
        <w:pStyle w:val="Heading2"/>
        <w:outlineLvl w:val="1"/>
      </w:pPr>
      <w:r>
        <w:rPr>
          <w:lang w:val="en-US"/>
        </w:rPr>
        <w:t xml:space="preserve">Current-State Analysis</w:t>
      </w:r>
    </w:p>
    <w:p>
      <w:pPr>
        <w:pStyle w:val="Heading3"/>
        <w:outlineLvl w:val="2"/>
      </w:pPr>
      <w:r>
        <w:rPr>
          <w:lang w:val="en-US"/>
        </w:rPr>
        <w:t xml:space="preserve">Baseline and exposure profile</w:t>
      </w:r>
    </w:p>
    <w:p>
      <w:pPr>
        <w:pStyle w:val="Normal"/>
      </w:pPr>
      <w:r>
        <w:rPr>
          <w:lang w:val="en-US"/>
        </w:rPr>
        <w:t xml:space="preserve">[Assumption] The business has at least two information environments: paper files and computers. [Fact] The FTC identifies paper documents, laptops, mobile devices, flash drives, disks, home computers, digital copiers, websites, contractors, and call centers as possible locations or paths for sensitive information. [1]</w:t>
      </w:r>
    </w:p>
    <w:p>
      <w:pPr>
        <w:pStyle w:val="Normal"/>
      </w:pPr>
      <w:r>
        <w:rPr>
          <w:lang w:val="en-US"/>
        </w:rPr>
        <w:t xml:space="preserve">[Inference] A mixed paper and electronic environment creates different but connected exposure pathways. Paper can be lost, stolen, viewed without authorization, or discarded improperly. Electronic information can be exposed through weak access, malware, insecure transmission, unpatched systems, unauthorized software, remote access, or provider failures.</w:t>
      </w:r>
    </w:p>
    <w:p>
      <w:pPr>
        <w:pStyle w:val="Normal"/>
      </w:pPr>
      <w:r>
        <w:rPr>
          <w:lang w:val="en-US"/>
        </w:rPr>
        <w:t xml:space="preserve">[Fact] The FTC states that many data compromises occur through lost or stolen paper documents. [1] [Fact] The FTC also identifies hackers, insiders, inadvertent website exposure, and insecure systems as possible breach causes. [1]</w:t>
      </w:r>
    </w:p>
    <w:p>
      <w:pPr>
        <w:pStyle w:val="Heading3"/>
        <w:outlineLvl w:val="2"/>
      </w:pPr>
      <w:r>
        <w:rPr>
          <w:lang w:val="en-US"/>
        </w:rPr>
        <w:t xml:space="preserve">Information visibility gap</w:t>
      </w:r>
    </w:p>
    <w:p>
      <w:pPr>
        <w:pStyle w:val="Normal"/>
      </w:pPr>
      <w:r>
        <w:rPr>
          <w:lang w:val="en-US"/>
        </w:rPr>
        <w:t xml:space="preserve">[Assumption] A comprehensive inventory has not yet been completed. [Inference] Without an inventory, the business cannot reliably determine all information types, storage locations, data flows, access holders, devices, or third parties.</w:t>
      </w:r>
    </w:p>
    <w:p>
      <w:pPr>
        <w:pStyle w:val="Normal"/>
      </w:pPr>
      <w:r>
        <w:rPr>
          <w:lang w:val="en-US"/>
        </w:rPr>
        <w:t xml:space="preserve">[Fact] The FTC states that a business can determine the best ways to secure information only after tracing how it flows. [1] [Inference] This is the key current-state constraint. It prevents the owner from targeting retention reduction, access restrictions, safeguards, and response procedures with confidence.</w:t>
      </w:r>
    </w:p>
    <w:p>
      <w:pPr>
        <w:pStyle w:val="Heading3"/>
        <w:outlineLvl w:val="2"/>
      </w:pPr>
      <w:r>
        <w:rPr>
          <w:lang w:val="en-US"/>
        </w:rPr>
        <w:t xml:space="preserve">Control and readiness gap</w:t>
      </w:r>
    </w:p>
    <w:p>
      <w:pPr>
        <w:pStyle w:val="Normal"/>
      </w:pPr>
      <w:r>
        <w:rPr>
          <w:lang w:val="en-US"/>
        </w:rPr>
        <w:t xml:space="preserve">[Assumption] The current state of passwords, access rights, locks, patching, anti-malware tools, encryption, monitoring, training, provider contracts, and disposal practices is unknown. [Inference] The report cannot determine whether those controls are absent, incomplete, or operating effectively.</w:t>
      </w:r>
    </w:p>
    <w:p>
      <w:pPr>
        <w:pStyle w:val="Normal"/>
      </w:pPr>
      <w:r>
        <w:rPr>
          <w:lang w:val="en-US"/>
        </w:rPr>
        <w:t xml:space="preserve">[Fact] The FTC identifies physical security, electronic security, employee training, and service-provider security practices as key elements of protecting retained personal information. [1] [Inference] The owner should evaluate all four areas because a weakness in any one can undermine the overall control environment.</w:t>
      </w:r>
    </w:p>
    <w:p>
      <w:pPr>
        <w:pStyle w:val="Heading3"/>
        <w:outlineLvl w:val="2"/>
      </w:pPr>
      <w:r>
        <w:rPr>
          <w:lang w:val="en-US"/>
        </w:rPr>
        <w:t xml:space="preserve">Response-readiness gap</w:t>
      </w:r>
    </w:p>
    <w:p>
      <w:pPr>
        <w:pStyle w:val="Normal"/>
      </w:pPr>
      <w:r>
        <w:rPr>
          <w:lang w:val="en-US"/>
        </w:rPr>
        <w:t xml:space="preserve">[Assumption] The business does not yet have a verified, documented incident response plan. [Fact] The FTC recommends having a response plan and designating a senior staff member to coordinate and implement it. [1]</w:t>
      </w:r>
    </w:p>
    <w:p>
      <w:pPr>
        <w:pStyle w:val="Normal"/>
      </w:pPr>
      <w:r>
        <w:rPr>
          <w:lang w:val="en-US"/>
        </w:rPr>
        <w:t xml:space="preserve">[Inference] Without designated authority, contact paths, evidence-preservation steps, and communication procedures, an incident could produce delayed containment and inconsistent decisions. This risk persists even if preventive safeguards improve.</w:t>
      </w:r>
    </w:p>
    <w:p>
      <w:pPr>
        <w:pStyle w:val="Heading2"/>
        <w:outlineLvl w:val="1"/>
      </w:pPr>
      <w:r>
        <w:rPr>
          <w:lang w:val="en-US"/>
        </w:rPr>
        <w:t xml:space="preserve">Key Findings</w:t>
      </w:r>
    </w:p>
    <w:p>
      <w:pPr>
        <w:pStyle w:val="ListParagraph"/>
        <w:numPr>
          <w:ilvl w:val="0"/>
          <w:numId w:val="5"/>
        </w:numPr>
        <w:ind w:left="360" w:hanging="240"/>
      </w:pPr>
      <w:r>
        <w:rPr>
          <w:lang w:val="en-US"/>
        </w:rPr>
        <w:t xml:space="preserve"> </w:t>
      </w:r>
      <w:r>
        <w:rPr>
          <w:b/>
          <w:lang w:val="en-US"/>
        </w:rPr>
        <w:t xml:space="preserve">[Fact]</w:t>
      </w:r>
      <w:r>
        <w:rPr>
          <w:lang w:val="en-US"/>
        </w:rPr>
        <w:t xml:space="preserve"> The FTC identifies taking stock as the first principle of a sound data security plan. It directs businesses to identify information types, locations, flows, access holders, devices, and service providers. [1]</w:t>
      </w:r>
      <w:r>
        <w:rPr>
          <w:lang w:val="en-US"/>
        </w:rPr>
        <w:t xml:space="preserve"> </w:t>
      </w:r>
      <w:r>
        <w:rPr>
          <w:b/>
          <w:lang w:val="en-US"/>
        </w:rPr>
        <w:t xml:space="preserve">[Inference]</w:t>
      </w:r>
      <w:r>
        <w:rPr>
          <w:lang w:val="en-US"/>
        </w:rPr>
        <w:t xml:space="preserve"> The owner should begin with a rapid inventory because it provides the factual basis for proportionate decisions. Inventorying is foundational, but it is not sufficient protection by itself.</w:t>
      </w:r>
      <w:r>
        <w:rPr>
          <w:lang w:val="en-US"/>
        </w:rPr>
        <w:t xml:space="preserve"> </w:t>
      </w:r>
    </w:p>
    <w:p>
      <w:pPr>
        <w:pStyle w:val="ListParagraph"/>
        <w:numPr>
          <w:ilvl w:val="0"/>
          <w:numId w:val="5"/>
        </w:numPr>
        <w:ind w:left="360" w:hanging="240"/>
      </w:pPr>
      <w:r>
        <w:rPr>
          <w:lang w:val="en-US"/>
        </w:rPr>
        <w:t xml:space="preserve"> </w:t>
      </w:r>
      <w:r>
        <w:rPr>
          <w:b/>
          <w:lang w:val="en-US"/>
        </w:rPr>
        <w:t xml:space="preserve">[Fact]</w:t>
      </w:r>
      <w:r>
        <w:rPr>
          <w:lang w:val="en-US"/>
        </w:rPr>
        <w:t xml:space="preserve"> The FTC recommends collecting sensitive information only where there is a legitimate business need and retaining it only as long as necessary. Information not held in a system cannot be stolen from that system. [1]</w:t>
      </w:r>
      <w:r>
        <w:rPr>
          <w:lang w:val="en-US"/>
        </w:rPr>
        <w:t xml:space="preserve"> </w:t>
      </w:r>
      <w:r>
        <w:rPr>
          <w:b/>
          <w:lang w:val="en-US"/>
        </w:rPr>
        <w:t xml:space="preserve">[Inference]</w:t>
      </w:r>
      <w:r>
        <w:rPr>
          <w:lang w:val="en-US"/>
        </w:rPr>
        <w:t xml:space="preserve"> Reducing unnecessary information is a direct exposure-reduction action. It should follow quickly after initial inventory findings, subject to validated retention requirements.</w:t>
      </w:r>
      <w:r>
        <w:rPr>
          <w:lang w:val="en-US"/>
        </w:rPr>
        <w:t xml:space="preserve"> </w:t>
      </w:r>
    </w:p>
    <w:p>
      <w:pPr>
        <w:pStyle w:val="ListParagraph"/>
        <w:numPr>
          <w:ilvl w:val="0"/>
          <w:numId w:val="5"/>
        </w:numPr>
        <w:ind w:left="360" w:hanging="240"/>
      </w:pPr>
      <w:r>
        <w:rPr>
          <w:lang w:val="en-US"/>
        </w:rPr>
        <w:t xml:space="preserve"> </w:t>
      </w:r>
      <w:r>
        <w:rPr>
          <w:b/>
          <w:lang w:val="en-US"/>
        </w:rPr>
        <w:t xml:space="preserve">[Fact]</w:t>
      </w:r>
      <w:r>
        <w:rPr>
          <w:lang w:val="en-US"/>
        </w:rPr>
        <w:t xml:space="preserve"> The FTC recommends least-privilege access, locked storage for paper and portable media, strong passwords, screen locks, anti-malware tools, vendor-approved patches, encryption where appropriate, firewalls, workforce training, and provider oversight. [1]</w:t>
      </w:r>
      <w:r>
        <w:rPr>
          <w:lang w:val="en-US"/>
        </w:rPr>
        <w:t xml:space="preserve"> </w:t>
      </w:r>
      <w:r>
        <w:rPr>
          <w:b/>
          <w:lang w:val="en-US"/>
        </w:rPr>
        <w:t xml:space="preserve">[Inference]</w:t>
      </w:r>
      <w:r>
        <w:rPr>
          <w:lang w:val="en-US"/>
        </w:rPr>
        <w:t xml:space="preserve"> The owner can begin practical protection before the inventory is perfect by addressing obvious high-risk information, access points, and handling behaviors.</w:t>
      </w:r>
      <w:r>
        <w:rPr>
          <w:lang w:val="en-US"/>
        </w:rPr>
        <w:t xml:space="preserve"> </w:t>
      </w:r>
    </w:p>
    <w:p>
      <w:pPr>
        <w:pStyle w:val="ListParagraph"/>
        <w:numPr>
          <w:ilvl w:val="0"/>
          <w:numId w:val="5"/>
        </w:numPr>
        <w:ind w:left="360" w:hanging="240"/>
      </w:pPr>
      <w:r>
        <w:rPr>
          <w:lang w:val="en-US"/>
        </w:rPr>
        <w:t xml:space="preserve"> </w:t>
      </w:r>
      <w:r>
        <w:rPr>
          <w:b/>
          <w:lang w:val="en-US"/>
        </w:rPr>
        <w:t xml:space="preserve">[Fact]</w:t>
      </w:r>
      <w:r>
        <w:rPr>
          <w:lang w:val="en-US"/>
        </w:rPr>
        <w:t xml:space="preserve"> The FTC recommends a plan for security incidents, immediate investigation, evidence preservation, credential changes where appropriate, and consideration of internal and external notifications. [1]</w:t>
      </w:r>
      <w:r>
        <w:rPr>
          <w:lang w:val="en-US"/>
        </w:rPr>
        <w:t xml:space="preserve"> </w:t>
      </w:r>
      <w:r>
        <w:rPr>
          <w:b/>
          <w:lang w:val="en-US"/>
        </w:rPr>
        <w:t xml:space="preserve">[Inference]</w:t>
      </w:r>
      <w:r>
        <w:rPr>
          <w:lang w:val="en-US"/>
        </w:rPr>
        <w:t xml:space="preserve"> A concise response plan should be completed in the same quarter. Prevention reduces likelihood, but it does not remove residual incident risk.</w:t>
      </w:r>
      <w:r>
        <w:rPr>
          <w:lang w:val="en-US"/>
        </w:rPr>
        <w:t xml:space="preserve"> </w:t>
      </w:r>
    </w:p>
    <w:p>
      <w:pPr>
        <w:pStyle w:val="ListParagraph"/>
        <w:numPr>
          <w:ilvl w:val="0"/>
          <w:numId w:val="5"/>
        </w:numPr>
        <w:ind w:left="360" w:hanging="240"/>
      </w:pPr>
      <w:r>
        <w:rPr>
          <w:lang w:val="en-US"/>
        </w:rPr>
        <w:t xml:space="preserve"> </w:t>
      </w:r>
      <w:r>
        <w:rPr>
          <w:b/>
          <w:lang w:val="en-US"/>
        </w:rPr>
        <w:t xml:space="preserve">[Assumption]</w:t>
      </w:r>
      <w:r>
        <w:rPr>
          <w:lang w:val="en-US"/>
        </w:rPr>
        <w:t xml:space="preserve"> The business lacks dedicated security staff and must rely on the owner, existing staff, and selective external support. </w:t>
      </w:r>
      <w:r>
        <w:rPr>
          <w:b/>
          <w:lang w:val="en-US"/>
        </w:rPr>
        <w:t xml:space="preserve">[Inference]</w:t>
      </w:r>
      <w:r>
        <w:rPr>
          <w:lang w:val="en-US"/>
        </w:rPr>
        <w:t xml:space="preserve"> Accountability, simplicity, and clear escalation paths are more important than a complex program that the business cannot maintain.</w:t>
      </w:r>
      <w:r>
        <w:rPr>
          <w:lang w:val="en-US"/>
        </w:rPr>
        <w:t xml:space="preserve"> </w:t>
      </w:r>
    </w:p>
    <w:p>
      <w:pPr>
        <w:pStyle w:val="Heading2"/>
        <w:outlineLvl w:val="1"/>
      </w:pPr>
      <w:r>
        <w:rPr>
          <w:lang w:val="en-US"/>
        </w:rPr>
        <w:t xml:space="preserve">Options Considered</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1806"/>
        <w:gridCol w:w="1805"/>
        <w:gridCol w:w="1805"/>
        <w:gridCol w:w="1805"/>
        <w:gridCol w:w="1805"/>
      </w:tblGrid>
      <w:tr>
        <w:trPr>
          <w:cantSplit/>
          <w:tblHeader/>
        </w:trPr>
        <w:tc>
          <w:tcPr>
            <w:tcW w:w="1806" w:type="dxa"/>
            <w:shd w:val="clear" w:color="auto" w:fill="0B2A5C"/>
          </w:tcPr>
          <w:p>
            <w:pPr>
              <w:pStyle w:val="TableHeading"/>
              <w:spacing w:before="0" w:after="0" w:line="240" w:lineRule="auto"/>
              <w:ind w:left="0" w:right="0" w:firstLine="0"/>
              <w:jc w:val="left"/>
            </w:pPr>
            <w:r>
              <w:rPr>
                <w:b/>
                <w:lang w:val="en-US"/>
              </w:rPr>
              <w:t xml:space="preserve">Option</w:t>
            </w:r>
          </w:p>
        </w:tc>
        <w:tc>
          <w:tcPr>
            <w:tcW w:w="1805" w:type="dxa"/>
            <w:shd w:val="clear" w:color="auto" w:fill="0B2A5C"/>
          </w:tcPr>
          <w:p>
            <w:pPr>
              <w:pStyle w:val="TableHeading"/>
              <w:spacing w:before="0" w:after="0" w:line="240" w:lineRule="auto"/>
              <w:ind w:left="0" w:right="0" w:firstLine="0"/>
              <w:jc w:val="left"/>
            </w:pPr>
            <w:r>
              <w:rPr>
                <w:b/>
                <w:lang w:val="en-US"/>
              </w:rPr>
              <w:t xml:space="preserve">Effect on information at risk</w:t>
            </w:r>
          </w:p>
        </w:tc>
        <w:tc>
          <w:tcPr>
            <w:tcW w:w="1805" w:type="dxa"/>
            <w:shd w:val="clear" w:color="auto" w:fill="0B2A5C"/>
          </w:tcPr>
          <w:p>
            <w:pPr>
              <w:pStyle w:val="TableHeading"/>
              <w:spacing w:before="0" w:after="0" w:line="240" w:lineRule="auto"/>
              <w:ind w:left="0" w:right="0" w:firstLine="0"/>
              <w:jc w:val="left"/>
            </w:pPr>
            <w:r>
              <w:rPr>
                <w:b/>
                <w:lang w:val="en-US"/>
              </w:rPr>
              <w:t xml:space="preserve">Practicality for a small team</w:t>
            </w:r>
          </w:p>
        </w:tc>
        <w:tc>
          <w:tcPr>
            <w:tcW w:w="1805" w:type="dxa"/>
            <w:shd w:val="clear" w:color="auto" w:fill="0B2A5C"/>
          </w:tcPr>
          <w:p>
            <w:pPr>
              <w:pStyle w:val="TableHeading"/>
              <w:spacing w:before="0" w:after="0" w:line="240" w:lineRule="auto"/>
              <w:ind w:left="0" w:right="0" w:firstLine="0"/>
              <w:jc w:val="left"/>
            </w:pPr>
            <w:r>
              <w:rPr>
                <w:b/>
                <w:lang w:val="en-US"/>
              </w:rPr>
              <w:t xml:space="preserve">Exposure readiness</w:t>
            </w:r>
          </w:p>
        </w:tc>
        <w:tc>
          <w:tcPr>
            <w:tcW w:w="1805" w:type="dxa"/>
            <w:shd w:val="clear" w:color="auto" w:fill="0B2A5C"/>
          </w:tcPr>
          <w:p>
            <w:pPr>
              <w:pStyle w:val="TableHeading"/>
              <w:spacing w:before="0" w:after="0" w:line="240" w:lineRule="auto"/>
              <w:ind w:left="0" w:right="0" w:firstLine="0"/>
              <w:jc w:val="left"/>
            </w:pPr>
            <w:r>
              <w:rPr>
                <w:b/>
                <w:lang w:val="en-US"/>
              </w:rPr>
              <w:t xml:space="preserve">Principal trade-off</w:t>
            </w:r>
          </w:p>
        </w:tc>
      </w:tr>
      <w:tr>
        <w:trPr>
          <w:cantSplit/>
        </w:trPr>
        <w:tc>
          <w:tcPr>
            <w:tcW w:w="1806" w:type="dxa"/>
          </w:tcPr>
          <w:p>
            <w:pPr>
              <w:pStyle w:val="TableText"/>
              <w:spacing w:before="0" w:after="0" w:line="240" w:lineRule="auto"/>
              <w:ind w:left="0" w:right="0" w:firstLine="0"/>
              <w:jc w:val="left"/>
            </w:pPr>
            <w:r>
              <w:rPr>
                <w:lang w:val="en-US"/>
              </w:rPr>
              <w:t xml:space="preserve">Status quo</w:t>
            </w:r>
          </w:p>
        </w:tc>
        <w:tc>
          <w:tcPr>
            <w:tcW w:w="1805" w:type="dxa"/>
          </w:tcPr>
          <w:p>
            <w:pPr>
              <w:pStyle w:val="TableText"/>
              <w:spacing w:before="0" w:after="0" w:line="240" w:lineRule="auto"/>
              <w:ind w:left="0" w:right="0" w:firstLine="0"/>
              <w:jc w:val="left"/>
            </w:pPr>
            <w:r>
              <w:rPr>
                <w:lang w:val="en-US"/>
              </w:rPr>
              <w:t xml:space="preserve">[Inference] No deliberate reduction or added protection.</w:t>
            </w:r>
          </w:p>
        </w:tc>
        <w:tc>
          <w:tcPr>
            <w:tcW w:w="1805" w:type="dxa"/>
          </w:tcPr>
          <w:p>
            <w:pPr>
              <w:pStyle w:val="TableText"/>
              <w:spacing w:before="0" w:after="0" w:line="240" w:lineRule="auto"/>
              <w:ind w:left="0" w:right="0" w:firstLine="0"/>
              <w:jc w:val="left"/>
            </w:pPr>
            <w:r>
              <w:rPr>
                <w:lang w:val="en-US"/>
              </w:rPr>
              <w:t xml:space="preserve">[Inference] Preserves immediate staff time.</w:t>
            </w:r>
          </w:p>
        </w:tc>
        <w:tc>
          <w:tcPr>
            <w:tcW w:w="1805" w:type="dxa"/>
          </w:tcPr>
          <w:p>
            <w:pPr>
              <w:pStyle w:val="TableText"/>
              <w:spacing w:before="0" w:after="0" w:line="240" w:lineRule="auto"/>
              <w:ind w:left="0" w:right="0" w:firstLine="0"/>
              <w:jc w:val="left"/>
            </w:pPr>
            <w:r>
              <w:rPr>
                <w:lang w:val="en-US"/>
              </w:rPr>
              <w:t xml:space="preserve">[Inference] Leaves readiness uncertain.</w:t>
            </w:r>
          </w:p>
        </w:tc>
        <w:tc>
          <w:tcPr>
            <w:tcW w:w="1805" w:type="dxa"/>
          </w:tcPr>
          <w:p>
            <w:pPr>
              <w:pStyle w:val="TableText"/>
              <w:spacing w:before="0" w:after="0" w:line="240" w:lineRule="auto"/>
              <w:ind w:left="0" w:right="0" w:firstLine="0"/>
              <w:jc w:val="left"/>
            </w:pPr>
            <w:r>
              <w:rPr>
                <w:lang w:val="en-US"/>
              </w:rPr>
              <w:t xml:space="preserve">[Inference] Defers effort but retains unmanaged exposure and uncertainty.</w:t>
            </w:r>
          </w:p>
        </w:tc>
      </w:tr>
      <w:tr>
        <w:trPr>
          <w:cantSplit/>
        </w:trPr>
        <w:tc>
          <w:tcPr>
            <w:tcW w:w="1806" w:type="dxa"/>
            <w:shd w:val="clear" w:color="auto" w:fill="F4F7FB"/>
          </w:tcPr>
          <w:p>
            <w:pPr>
              <w:pStyle w:val="TableText"/>
              <w:spacing w:before="0" w:after="0" w:line="240" w:lineRule="auto"/>
              <w:ind w:left="0" w:right="0" w:firstLine="0"/>
              <w:jc w:val="left"/>
            </w:pPr>
            <w:r>
              <w:rPr>
                <w:lang w:val="en-US"/>
              </w:rPr>
              <w:t xml:space="preserve">Inventory only</w:t>
            </w:r>
          </w:p>
        </w:tc>
        <w:tc>
          <w:tcPr>
            <w:tcW w:w="1805" w:type="dxa"/>
            <w:shd w:val="clear" w:color="auto" w:fill="F4F7FB"/>
          </w:tcPr>
          <w:p>
            <w:pPr>
              <w:pStyle w:val="TableText"/>
              <w:spacing w:before="0" w:after="0" w:line="240" w:lineRule="auto"/>
              <w:ind w:left="0" w:right="0" w:firstLine="0"/>
              <w:jc w:val="left"/>
            </w:pPr>
            <w:r>
              <w:rPr>
                <w:lang w:val="en-US"/>
              </w:rPr>
              <w:t xml:space="preserve">[Inference] Indirect reduction through improved visibility.</w:t>
            </w:r>
          </w:p>
        </w:tc>
        <w:tc>
          <w:tcPr>
            <w:tcW w:w="1805" w:type="dxa"/>
            <w:shd w:val="clear" w:color="auto" w:fill="F4F7FB"/>
          </w:tcPr>
          <w:p>
            <w:pPr>
              <w:pStyle w:val="TableText"/>
              <w:spacing w:before="0" w:after="0" w:line="240" w:lineRule="auto"/>
              <w:ind w:left="0" w:right="0" w:firstLine="0"/>
              <w:jc w:val="left"/>
            </w:pPr>
            <w:r>
              <w:rPr>
                <w:lang w:val="en-US"/>
              </w:rPr>
              <w:t xml:space="preserve">[Inference] Practical if tightly scoped.</w:t>
            </w:r>
          </w:p>
        </w:tc>
        <w:tc>
          <w:tcPr>
            <w:tcW w:w="1805" w:type="dxa"/>
            <w:shd w:val="clear" w:color="auto" w:fill="F4F7FB"/>
          </w:tcPr>
          <w:p>
            <w:pPr>
              <w:pStyle w:val="TableText"/>
              <w:spacing w:before="0" w:after="0" w:line="240" w:lineRule="auto"/>
              <w:ind w:left="0" w:right="0" w:firstLine="0"/>
              <w:jc w:val="left"/>
            </w:pPr>
            <w:r>
              <w:rPr>
                <w:lang w:val="en-US"/>
              </w:rPr>
              <w:t xml:space="preserve">[Inference] Improves later scoping.</w:t>
            </w:r>
          </w:p>
        </w:tc>
        <w:tc>
          <w:tcPr>
            <w:tcW w:w="1805" w:type="dxa"/>
            <w:shd w:val="clear" w:color="auto" w:fill="F4F7FB"/>
          </w:tcPr>
          <w:p>
            <w:pPr>
              <w:pStyle w:val="TableText"/>
              <w:spacing w:before="0" w:after="0" w:line="240" w:lineRule="auto"/>
              <w:ind w:left="0" w:right="0" w:firstLine="0"/>
              <w:jc w:val="left"/>
            </w:pPr>
            <w:r>
              <w:rPr>
                <w:lang w:val="en-US"/>
              </w:rPr>
              <w:t xml:space="preserve">[Inference] Does not itself protect or remove information.</w:t>
            </w:r>
          </w:p>
        </w:tc>
      </w:tr>
      <w:tr>
        <w:trPr>
          <w:cantSplit/>
        </w:trPr>
        <w:tc>
          <w:tcPr>
            <w:tcW w:w="1806" w:type="dxa"/>
          </w:tcPr>
          <w:p>
            <w:pPr>
              <w:pStyle w:val="TableText"/>
              <w:spacing w:before="0" w:after="0" w:line="240" w:lineRule="auto"/>
              <w:ind w:left="0" w:right="0" w:firstLine="0"/>
              <w:jc w:val="left"/>
            </w:pPr>
            <w:r>
              <w:rPr>
                <w:lang w:val="en-US"/>
              </w:rPr>
              <w:t xml:space="preserve">Immediate safeguard-only program</w:t>
            </w:r>
          </w:p>
        </w:tc>
        <w:tc>
          <w:tcPr>
            <w:tcW w:w="1805" w:type="dxa"/>
          </w:tcPr>
          <w:p>
            <w:pPr>
              <w:pStyle w:val="TableText"/>
              <w:spacing w:before="0" w:after="0" w:line="240" w:lineRule="auto"/>
              <w:ind w:left="0" w:right="0" w:firstLine="0"/>
              <w:jc w:val="left"/>
            </w:pPr>
            <w:r>
              <w:rPr>
                <w:lang w:val="en-US"/>
              </w:rPr>
              <w:t xml:space="preserve">[Inference] Protects visible information and systems.</w:t>
            </w:r>
          </w:p>
        </w:tc>
        <w:tc>
          <w:tcPr>
            <w:tcW w:w="1805" w:type="dxa"/>
          </w:tcPr>
          <w:p>
            <w:pPr>
              <w:pStyle w:val="TableText"/>
              <w:spacing w:before="0" w:after="0" w:line="240" w:lineRule="auto"/>
              <w:ind w:left="0" w:right="0" w:firstLine="0"/>
              <w:jc w:val="left"/>
            </w:pPr>
            <w:r>
              <w:rPr>
                <w:lang w:val="en-US"/>
              </w:rPr>
              <w:t xml:space="preserve">[Inference] Practical if limited to basic controls.</w:t>
            </w:r>
          </w:p>
        </w:tc>
        <w:tc>
          <w:tcPr>
            <w:tcW w:w="1805" w:type="dxa"/>
          </w:tcPr>
          <w:p>
            <w:pPr>
              <w:pStyle w:val="TableText"/>
              <w:spacing w:before="0" w:after="0" w:line="240" w:lineRule="auto"/>
              <w:ind w:left="0" w:right="0" w:firstLine="0"/>
              <w:jc w:val="left"/>
            </w:pPr>
            <w:r>
              <w:rPr>
                <w:lang w:val="en-US"/>
              </w:rPr>
              <w:t xml:space="preserve">[Inference] Moderate improvement.</w:t>
            </w:r>
          </w:p>
        </w:tc>
        <w:tc>
          <w:tcPr>
            <w:tcW w:w="1805" w:type="dxa"/>
          </w:tcPr>
          <w:p>
            <w:pPr>
              <w:pStyle w:val="TableText"/>
              <w:spacing w:before="0" w:after="0" w:line="240" w:lineRule="auto"/>
              <w:ind w:left="0" w:right="0" w:firstLine="0"/>
              <w:jc w:val="left"/>
            </w:pPr>
            <w:r>
              <w:rPr>
                <w:lang w:val="en-US"/>
              </w:rPr>
              <w:t xml:space="preserve">[Inference] May miss unknown records, devices, access paths, and providers.</w:t>
            </w:r>
          </w:p>
        </w:tc>
      </w:tr>
      <w:tr>
        <w:trPr>
          <w:cantSplit/>
        </w:trPr>
        <w:tc>
          <w:tcPr>
            <w:tcW w:w="1806" w:type="dxa"/>
            <w:shd w:val="clear" w:color="auto" w:fill="F4F7FB"/>
          </w:tcPr>
          <w:p>
            <w:pPr>
              <w:pStyle w:val="TableText"/>
              <w:spacing w:before="0" w:after="0" w:line="240" w:lineRule="auto"/>
              <w:ind w:left="0" w:right="0" w:firstLine="0"/>
              <w:jc w:val="left"/>
            </w:pPr>
            <w:r>
              <w:rPr>
                <w:lang w:val="en-US"/>
              </w:rPr>
              <w:t xml:space="preserve">Response plan only</w:t>
            </w:r>
          </w:p>
        </w:tc>
        <w:tc>
          <w:tcPr>
            <w:tcW w:w="1805" w:type="dxa"/>
            <w:shd w:val="clear" w:color="auto" w:fill="F4F7FB"/>
          </w:tcPr>
          <w:p>
            <w:pPr>
              <w:pStyle w:val="TableText"/>
              <w:spacing w:before="0" w:after="0" w:line="240" w:lineRule="auto"/>
              <w:ind w:left="0" w:right="0" w:firstLine="0"/>
              <w:jc w:val="left"/>
            </w:pPr>
            <w:r>
              <w:rPr>
                <w:lang w:val="en-US"/>
              </w:rPr>
              <w:t xml:space="preserve">[Inference] Does not prevent exposure or reduce retained information.</w:t>
            </w:r>
          </w:p>
        </w:tc>
        <w:tc>
          <w:tcPr>
            <w:tcW w:w="1805" w:type="dxa"/>
            <w:shd w:val="clear" w:color="auto" w:fill="F4F7FB"/>
          </w:tcPr>
          <w:p>
            <w:pPr>
              <w:pStyle w:val="TableText"/>
              <w:spacing w:before="0" w:after="0" w:line="240" w:lineRule="auto"/>
              <w:ind w:left="0" w:right="0" w:firstLine="0"/>
              <w:jc w:val="left"/>
            </w:pPr>
            <w:r>
              <w:rPr>
                <w:lang w:val="en-US"/>
              </w:rPr>
              <w:t xml:space="preserve">[Inference] Practical as a limited exercise.</w:t>
            </w:r>
          </w:p>
        </w:tc>
        <w:tc>
          <w:tcPr>
            <w:tcW w:w="1805" w:type="dxa"/>
            <w:shd w:val="clear" w:color="auto" w:fill="F4F7FB"/>
          </w:tcPr>
          <w:p>
            <w:pPr>
              <w:pStyle w:val="TableText"/>
              <w:spacing w:before="0" w:after="0" w:line="240" w:lineRule="auto"/>
              <w:ind w:left="0" w:right="0" w:firstLine="0"/>
              <w:jc w:val="left"/>
            </w:pPr>
            <w:r>
              <w:rPr>
                <w:lang w:val="en-US"/>
              </w:rPr>
              <w:t xml:space="preserve">[Inference] Strong post-exposure improvement.</w:t>
            </w:r>
          </w:p>
        </w:tc>
        <w:tc>
          <w:tcPr>
            <w:tcW w:w="1805" w:type="dxa"/>
            <w:shd w:val="clear" w:color="auto" w:fill="F4F7FB"/>
          </w:tcPr>
          <w:p>
            <w:pPr>
              <w:pStyle w:val="TableText"/>
              <w:spacing w:before="0" w:after="0" w:line="240" w:lineRule="auto"/>
              <w:ind w:left="0" w:right="0" w:firstLine="0"/>
              <w:jc w:val="left"/>
            </w:pPr>
            <w:r>
              <w:rPr>
                <w:lang w:val="en-US"/>
              </w:rPr>
              <w:t xml:space="preserve">[Inference] Leaves preventable exposure pathways unresolved.</w:t>
            </w:r>
          </w:p>
        </w:tc>
      </w:tr>
      <w:tr>
        <w:trPr>
          <w:cantSplit/>
        </w:trPr>
        <w:tc>
          <w:tcPr>
            <w:tcW w:w="1806" w:type="dxa"/>
          </w:tcPr>
          <w:p>
            <w:pPr>
              <w:pStyle w:val="TableText"/>
              <w:spacing w:before="0" w:after="0" w:line="240" w:lineRule="auto"/>
              <w:ind w:left="0" w:right="0" w:firstLine="0"/>
              <w:jc w:val="left"/>
            </w:pPr>
            <w:r>
              <w:rPr>
                <w:lang w:val="en-US"/>
              </w:rPr>
              <w:t xml:space="preserve">Sequenced program: inventory, reduce, protect, prepare</w:t>
            </w:r>
          </w:p>
        </w:tc>
        <w:tc>
          <w:tcPr>
            <w:tcW w:w="1805" w:type="dxa"/>
          </w:tcPr>
          <w:p>
            <w:pPr>
              <w:pStyle w:val="TableText"/>
              <w:spacing w:before="0" w:after="0" w:line="240" w:lineRule="auto"/>
              <w:ind w:left="0" w:right="0" w:firstLine="0"/>
              <w:jc w:val="left"/>
            </w:pPr>
            <w:r>
              <w:rPr>
                <w:lang w:val="en-US"/>
              </w:rPr>
              <w:t xml:space="preserve">[Inference] Combines direct reduction and practical protection.</w:t>
            </w:r>
          </w:p>
        </w:tc>
        <w:tc>
          <w:tcPr>
            <w:tcW w:w="1805" w:type="dxa"/>
          </w:tcPr>
          <w:p>
            <w:pPr>
              <w:pStyle w:val="TableText"/>
              <w:spacing w:before="0" w:after="0" w:line="240" w:lineRule="auto"/>
              <w:ind w:left="0" w:right="0" w:firstLine="0"/>
              <w:jc w:val="left"/>
            </w:pPr>
            <w:r>
              <w:rPr>
                <w:lang w:val="en-US"/>
              </w:rPr>
              <w:t xml:space="preserve">[Inference] Practical if phased and owner-led.</w:t>
            </w:r>
          </w:p>
        </w:tc>
        <w:tc>
          <w:tcPr>
            <w:tcW w:w="1805" w:type="dxa"/>
          </w:tcPr>
          <w:p>
            <w:pPr>
              <w:pStyle w:val="TableText"/>
              <w:spacing w:before="0" w:after="0" w:line="240" w:lineRule="auto"/>
              <w:ind w:left="0" w:right="0" w:firstLine="0"/>
              <w:jc w:val="left"/>
            </w:pPr>
            <w:r>
              <w:rPr>
                <w:lang w:val="en-US"/>
              </w:rPr>
              <w:t xml:space="preserve">[Inference] Stronger readiness than isolated actions.</w:t>
            </w:r>
          </w:p>
        </w:tc>
        <w:tc>
          <w:tcPr>
            <w:tcW w:w="1805" w:type="dxa"/>
          </w:tcPr>
          <w:p>
            <w:pPr>
              <w:pStyle w:val="TableText"/>
              <w:spacing w:before="0" w:after="0" w:line="240" w:lineRule="auto"/>
              <w:ind w:left="0" w:right="0" w:firstLine="0"/>
              <w:jc w:val="left"/>
            </w:pPr>
            <w:r>
              <w:rPr>
                <w:lang w:val="en-US"/>
              </w:rPr>
              <w:t xml:space="preserve">[Inference] Requires sustained management attention during the quarter.</w:t>
            </w:r>
          </w:p>
        </w:tc>
      </w:tr>
    </w:tbl>
    <w:p>
      <w:pPr>
        <w:pStyle w:val="Heading3"/>
        <w:outlineLvl w:val="2"/>
      </w:pPr>
      <w:r>
        <w:rPr>
          <w:lang w:val="en-US"/>
        </w:rPr>
        <w:t xml:space="preserve">Status quo</w:t>
      </w:r>
    </w:p>
    <w:p>
      <w:pPr>
        <w:pStyle w:val="Normal"/>
      </w:pPr>
      <w:r>
        <w:rPr>
          <w:lang w:val="en-US"/>
        </w:rPr>
        <w:t xml:space="preserve">[Assumption] Status quo means no deliberate next-quarter work beyond any existing but unverified practices. [Inference] This approach has the lowest immediate effort and the highest residual uncertainty.</w:t>
      </w:r>
    </w:p>
    <w:p>
      <w:pPr>
        <w:pStyle w:val="Normal"/>
      </w:pPr>
      <w:r>
        <w:rPr>
          <w:lang w:val="en-US"/>
        </w:rPr>
        <w:t xml:space="preserve">[Fact] The FTC states that a business cannot determine the best ways to secure information until it understands how personal information flows through the business. [1] [Inference] Status quo therefore leaves the owner without a validated basis for prioritizing protection.</w:t>
      </w:r>
    </w:p>
    <w:p>
      <w:pPr>
        <w:pStyle w:val="Heading3"/>
        <w:outlineLvl w:val="2"/>
      </w:pPr>
      <w:r>
        <w:rPr>
          <w:lang w:val="en-US"/>
        </w:rPr>
        <w:t xml:space="preserve">Inventory only</w:t>
      </w:r>
    </w:p>
    <w:p>
      <w:pPr>
        <w:pStyle w:val="Normal"/>
      </w:pPr>
      <w:r>
        <w:rPr>
          <w:lang w:val="en-US"/>
        </w:rPr>
        <w:t xml:space="preserve">[Inference] A focused inventory is a useful first action because it exposes unknown locations, access paths, and unnecessary retention. Its limitation is timing. Information remains exposed until findings produce actual retention, access, and safeguard changes.</w:t>
      </w:r>
    </w:p>
    <w:p>
      <w:pPr>
        <w:pStyle w:val="Heading3"/>
        <w:outlineLvl w:val="2"/>
      </w:pPr>
      <w:r>
        <w:rPr>
          <w:lang w:val="en-US"/>
        </w:rPr>
        <w:t xml:space="preserve">Immediate safeguard-only program</w:t>
      </w:r>
    </w:p>
    <w:p>
      <w:pPr>
        <w:pStyle w:val="Normal"/>
      </w:pPr>
      <w:r>
        <w:rPr>
          <w:lang w:val="en-US"/>
        </w:rPr>
        <w:t xml:space="preserve">[Inference] This option can quickly address visible risks. It should include locked storage, clean-desk practices, strong password requirements, screen locks, access restrictions, updated protections, and employee reporting procedures.</w:t>
      </w:r>
    </w:p>
    <w:p>
      <w:pPr>
        <w:pStyle w:val="Normal"/>
      </w:pPr>
      <w:r>
        <w:rPr>
          <w:lang w:val="en-US"/>
        </w:rPr>
        <w:t xml:space="preserve">[Fact] The FTC recommends these kinds of safeguards and states that some effective measures can cost next to nothing. [1] [Inference] However, safeguards chosen without a baseline may protect obvious systems while overlooking archived paper, portable media, home devices, or service providers.</w:t>
      </w:r>
    </w:p>
    <w:p>
      <w:pPr>
        <w:pStyle w:val="Heading3"/>
        <w:outlineLvl w:val="2"/>
      </w:pPr>
      <w:r>
        <w:rPr>
          <w:lang w:val="en-US"/>
        </w:rPr>
        <w:t xml:space="preserve">Response plan only</w:t>
      </w:r>
    </w:p>
    <w:p>
      <w:pPr>
        <w:pStyle w:val="Normal"/>
      </w:pPr>
      <w:r>
        <w:rPr>
          <w:lang w:val="en-US"/>
        </w:rPr>
        <w:t xml:space="preserve">[Inference] A response plan improves containment and decision quality after an incident. It is not a substitute for reducing retained information and protecting information that must remain.</w:t>
      </w:r>
    </w:p>
    <w:p>
      <w:pPr>
        <w:pStyle w:val="Normal"/>
      </w:pPr>
      <w:r>
        <w:rPr>
          <w:lang w:val="en-US"/>
        </w:rPr>
        <w:t xml:space="preserve">[Fact] After a breach, the FTC advises businesses to secure systems, fix vulnerabilities, preserve evidence, investigate, and plan communications. [1] [Inference] These actions are more effective when the business already knows its data locations, access holders, providers, and affected-contact information.</w:t>
      </w:r>
    </w:p>
    <w:p>
      <w:pPr>
        <w:pStyle w:val="Heading3"/>
        <w:outlineLvl w:val="2"/>
      </w:pPr>
      <w:r>
        <w:rPr>
          <w:lang w:val="en-US"/>
        </w:rPr>
        <w:t xml:space="preserve">Sequenced program</w:t>
      </w:r>
    </w:p>
    <w:p>
      <w:pPr>
        <w:pStyle w:val="Normal"/>
      </w:pPr>
      <w:r>
        <w:rPr>
          <w:lang w:val="en-US"/>
        </w:rPr>
        <w:t xml:space="preserve">[Inference] The sequenced program offers the strongest balance of prevention, harm limitation, practicality, and adaptability. It recognizes that the inventory should guide later decisions, while obvious controls should not wait for a perfect assessment.</w:t>
      </w:r>
    </w:p>
    <w:p>
      <w:pPr>
        <w:pStyle w:val="Heading2"/>
        <w:outlineLvl w:val="1"/>
      </w:pPr>
      <w:r>
        <w:rPr>
          <w:lang w:val="en-US"/>
        </w:rPr>
        <w:t xml:space="preserve">Recommendation</w:t>
      </w:r>
    </w:p>
    <w:p>
      <w:pPr>
        <w:pStyle w:val="Normal"/>
      </w:pPr>
      <w:r>
        <w:rPr>
          <w:b/>
          <w:lang w:val="en-US"/>
        </w:rPr>
        <w:t xml:space="preserve">Simple rule:</w:t>
      </w:r>
      <w:r>
        <w:rPr>
          <w:lang w:val="en-US"/>
        </w:rPr>
        <w:t xml:space="preserve"> Know what customer information exists, keep only what is needed, protect what remains, and prepare to act if exposure occurs.</w:t>
      </w:r>
    </w:p>
    <w:p>
      <w:pPr>
        <w:pStyle w:val="Normal"/>
      </w:pPr>
      <w:r>
        <w:rPr>
          <w:lang w:val="en-US"/>
        </w:rPr>
        <w:t xml:space="preserve">The owner should adopt the sequenced program during the next quarter. Begin with a rapid information inventory. Use early findings to remove unnecessary information and access. Apply immediate basic safeguards to high-sensitivity records and obvious exposure points. Complete and assign a concise incident response plan before the quarter closes.</w:t>
      </w:r>
    </w:p>
    <w:p>
      <w:pPr>
        <w:pStyle w:val="Normal"/>
      </w:pPr>
      <w:r>
        <w:rPr>
          <w:lang w:val="en-US"/>
        </w:rPr>
        <w:t xml:space="preserve">Recommendation</w:t>
      </w:r>
    </w:p>
    <w:p>
      <w:pPr>
        <w:pStyle w:val="Normal"/>
      </w:pPr>
      <w:r>
        <w:rPr>
          <w:lang w:val="en-US"/>
        </w:rPr>
        <w:t xml:space="preserve">Adopt a phased, owner-led program: inventory first; reduce unnecessary retention next; protect necessary information in parallel; finalize incident readiness within the quarter. The decision is mostly reversible, except for approved disposal. Confidence: moderate to high.</w:t>
      </w:r>
    </w:p>
    <w:p>
      <w:pPr>
        <w:pStyle w:val="Normal"/>
      </w:pPr>
      <w:r>
        <w:rPr>
          <w:lang w:val="en-US"/>
        </w:rPr>
        <w:t xml:space="preserve">[Fact] The FTC states that personal information should be retained only where there is a legitimate business need, protected while retained, securely disposed of when no longer needed, and supported by a response plan. [1] [Inference] The recommendation follows this connected lifecycle and therefore addresses both prevention and consequence management.</w:t>
      </w:r>
    </w:p>
    <w:p>
      <w:pPr>
        <w:pStyle w:val="Heading3"/>
        <w:outlineLvl w:val="2"/>
      </w:pPr>
      <w:r>
        <w:rPr>
          <w:lang w:val="en-US"/>
        </w:rPr>
        <w:t xml:space="preserve">Rationale</w:t>
      </w:r>
    </w:p>
    <w:p>
      <w:pPr>
        <w:pStyle w:val="Normal"/>
      </w:pPr>
      <w:r>
        <w:rPr>
          <w:lang w:val="en-US"/>
        </w:rPr>
        <w:t xml:space="preserve">[Inference] Inventory first reduces the risk of misdirected investment. It allows the owner to identify high-sensitivity information, duplicate copies, portable media, unmanaged access, third-party relationships, and locations that require immediate attention.</w:t>
      </w:r>
    </w:p>
    <w:p>
      <w:pPr>
        <w:pStyle w:val="Normal"/>
      </w:pPr>
      <w:r>
        <w:rPr>
          <w:lang w:val="en-US"/>
        </w:rPr>
        <w:t xml:space="preserve">[Inference] Reduction follows because it removes avoidable exposure rather than merely defending unnecessary information. Protection then focuses available effort on information the business must retain. Response planning addresses residual risk that remains despite preventive controls.</w:t>
      </w:r>
    </w:p>
    <w:p>
      <w:pPr>
        <w:pStyle w:val="Heading3"/>
        <w:outlineLvl w:val="2"/>
      </w:pPr>
      <w:r>
        <w:rPr>
          <w:lang w:val="en-US"/>
        </w:rPr>
        <w:t xml:space="preserve">Accepted trade-offs and opportunity cost</w:t>
      </w:r>
    </w:p>
    <w:p>
      <w:pPr>
        <w:pStyle w:val="Normal"/>
      </w:pPr>
      <w:r>
        <w:rPr>
          <w:lang w:val="en-US"/>
        </w:rPr>
        <w:t xml:space="preserve">The recommendation accepts management effort, staff disruption, and possible selective external support. It also accepts that not every technical safeguard can be implemented immediately. [Inference] The program deliberately prioritizes visibility, reduction, basic control discipline, and response authority over broad technology investment.</w:t>
      </w:r>
    </w:p>
    <w:p>
      <w:pPr>
        <w:pStyle w:val="Normal"/>
      </w:pPr>
      <w:r>
        <w:rPr>
          <w:lang w:val="en-US"/>
        </w:rPr>
        <w:t xml:space="preserve">[Inference] The opportunity cost of a full technical overhaul is avoided during the initial quarter. The opportunity cost of deferring all action is not accepted because an exposure could create investigation, communication, notification, and remediation demands before the business has a baseline.</w:t>
      </w:r>
    </w:p>
    <w:p>
      <w:pPr>
        <w:pStyle w:val="Heading3"/>
        <w:outlineLvl w:val="2"/>
      </w:pPr>
      <w:r>
        <w:rPr>
          <w:lang w:val="en-US"/>
        </w:rPr>
        <w:t xml:space="preserve">Rejected alternatives</w:t>
      </w:r>
    </w:p>
    <w:p>
      <w:pPr>
        <w:pStyle w:val="Normal"/>
      </w:pPr>
      <w:r>
        <w:rPr>
          <w:lang w:val="en-US"/>
        </w:rPr>
        <w:t xml:space="preserve">Status quo is rejected because it preserves uncertainty about data locations, access, and response readiness. Inventory only is rejected because visibility does not itself reduce exposure. Safeguards only are rejected because controls may be misdirected without information visibility. Response planning only is rejected because it does not reduce avoidable data exposure.</w:t>
      </w:r>
    </w:p>
    <w:p>
      <w:pPr>
        <w:pStyle w:val="Heading3"/>
        <w:outlineLvl w:val="2"/>
      </w:pPr>
      <w:r>
        <w:rPr>
          <w:lang w:val="en-US"/>
        </w:rPr>
        <w:t xml:space="preserve">Confidence and reversal conditions</w:t>
      </w:r>
    </w:p>
    <w:p>
      <w:pPr>
        <w:pStyle w:val="Normal"/>
      </w:pPr>
      <w:r>
        <w:rPr>
          <w:lang w:val="en-US"/>
        </w:rPr>
        <w:t xml:space="preserve">[Assumption] Confidence is moderate to high in the sequence, but moderate in the detailed control priorities. The recommendation should be reconsidered if the inventory reveals sensitive information requiring specialized handling, material remote access, extensive provider access, major control deficiencies, or binding retention obligations.</w:t>
      </w:r>
    </w:p>
    <w:p>
      <w:pPr>
        <w:pStyle w:val="Heading3"/>
        <w:outlineLvl w:val="2"/>
      </w:pPr>
      <w:r>
        <w:rPr>
          <w:lang w:val="en-US"/>
        </w:rPr>
        <w:t xml:space="preserve">Pre-mortem</w:t>
      </w:r>
    </w:p>
    <w:p>
      <w:pPr>
        <w:pStyle w:val="Normal"/>
      </w:pPr>
      <w:r>
        <w:rPr>
          <w:lang w:val="en-US"/>
        </w:rPr>
        <w:t xml:space="preserve">[Inference] Assume the program has failed by the end of the quarter. The most plausible causes are incomplete inventory coverage, disposal before retention validation, inconsistent employee adoption, overlooked providers, and an untested response plan.</w:t>
      </w:r>
    </w:p>
    <w:p>
      <w:pPr>
        <w:pStyle w:val="ListParagraph"/>
        <w:numPr>
          <w:ilvl w:val="0"/>
          <w:numId w:val="6"/>
        </w:numPr>
        <w:ind w:left="360" w:hanging="240"/>
      </w:pPr>
      <w:r>
        <w:rPr>
          <w:lang w:val="en-US"/>
        </w:rPr>
        <w:t xml:space="preserve">Incomplete inventory: Require each functional owner to attest to paper, device, account, and provider coverage.</w:t>
      </w:r>
    </w:p>
    <w:p>
      <w:pPr>
        <w:pStyle w:val="ListParagraph"/>
        <w:numPr>
          <w:ilvl w:val="0"/>
          <w:numId w:val="6"/>
        </w:numPr>
        <w:ind w:left="360" w:hanging="240"/>
      </w:pPr>
      <w:r>
        <w:rPr>
          <w:lang w:val="en-US"/>
        </w:rPr>
        <w:t xml:space="preserve">Improper disposal: Require approval of retention decisions before destruction occurs.</w:t>
      </w:r>
    </w:p>
    <w:p>
      <w:pPr>
        <w:pStyle w:val="ListParagraph"/>
        <w:numPr>
          <w:ilvl w:val="0"/>
          <w:numId w:val="6"/>
        </w:numPr>
        <w:ind w:left="360" w:hanging="240"/>
      </w:pPr>
      <w:r>
        <w:rPr>
          <w:lang w:val="en-US"/>
        </w:rPr>
        <w:t xml:space="preserve">Weak adoption: Assign specific control owners and reinforce required handling practices through training.</w:t>
      </w:r>
    </w:p>
    <w:p>
      <w:pPr>
        <w:pStyle w:val="ListParagraph"/>
        <w:numPr>
          <w:ilvl w:val="0"/>
          <w:numId w:val="6"/>
        </w:numPr>
        <w:ind w:left="360" w:hanging="240"/>
      </w:pPr>
      <w:r>
        <w:rPr>
          <w:lang w:val="en-US"/>
        </w:rPr>
        <w:t xml:space="preserve">Provider blind spot: Identify providers, document their access, and obtain written security expectations.</w:t>
      </w:r>
    </w:p>
    <w:p>
      <w:pPr>
        <w:pStyle w:val="ListParagraph"/>
        <w:numPr>
          <w:ilvl w:val="0"/>
          <w:numId w:val="6"/>
        </w:numPr>
        <w:ind w:left="360" w:hanging="240"/>
      </w:pPr>
      <w:r>
        <w:rPr>
          <w:lang w:val="en-US"/>
        </w:rPr>
        <w:t xml:space="preserve">Paper-only response plan: Conduct a short scenario walk-through and correct unclear steps.</w:t>
      </w:r>
    </w:p>
    <w:p>
      <w:pPr>
        <w:pStyle w:val="Heading2"/>
        <w:outlineLvl w:val="1"/>
      </w:pPr>
      <w:r>
        <w:rPr>
          <w:lang w:val="en-US"/>
        </w:rPr>
        <w:t xml:space="preserve">Risks, Assumptions, and Dependencies</w:t>
      </w:r>
    </w:p>
    <w:p>
      <w:pPr>
        <w:pStyle w:val="Heading3"/>
        <w:outlineLvl w:val="2"/>
      </w:pPr>
      <w:r>
        <w:rPr>
          <w:lang w:val="en-US"/>
        </w:rPr>
        <w:t xml:space="preserve">Risks</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2257"/>
        <w:gridCol w:w="2257"/>
        <w:gridCol w:w="2256"/>
        <w:gridCol w:w="2256"/>
      </w:tblGrid>
      <w:tr>
        <w:trPr>
          <w:cantSplit/>
          <w:tblHeader/>
        </w:trPr>
        <w:tc>
          <w:tcPr>
            <w:tcW w:w="2257" w:type="dxa"/>
            <w:shd w:val="clear" w:color="auto" w:fill="0B2A5C"/>
          </w:tcPr>
          <w:p>
            <w:pPr>
              <w:pStyle w:val="TableHeading"/>
              <w:spacing w:before="0" w:after="0" w:line="240" w:lineRule="auto"/>
              <w:ind w:left="0" w:right="0" w:firstLine="0"/>
              <w:jc w:val="left"/>
            </w:pPr>
            <w:r>
              <w:rPr>
                <w:b/>
                <w:lang w:val="en-US"/>
              </w:rPr>
              <w:t xml:space="preserve">Risk</w:t>
            </w:r>
          </w:p>
        </w:tc>
        <w:tc>
          <w:tcPr>
            <w:tcW w:w="2257" w:type="dxa"/>
            <w:shd w:val="clear" w:color="auto" w:fill="0B2A5C"/>
          </w:tcPr>
          <w:p>
            <w:pPr>
              <w:pStyle w:val="TableHeading"/>
              <w:spacing w:before="0" w:after="0" w:line="240" w:lineRule="auto"/>
              <w:ind w:left="0" w:right="0" w:firstLine="0"/>
              <w:jc w:val="left"/>
            </w:pPr>
            <w:r>
              <w:rPr>
                <w:b/>
                <w:lang w:val="en-US"/>
              </w:rPr>
              <w:t xml:space="preserve">Likelihood</w:t>
            </w:r>
          </w:p>
        </w:tc>
        <w:tc>
          <w:tcPr>
            <w:tcW w:w="2256" w:type="dxa"/>
            <w:shd w:val="clear" w:color="auto" w:fill="0B2A5C"/>
          </w:tcPr>
          <w:p>
            <w:pPr>
              <w:pStyle w:val="TableHeading"/>
              <w:spacing w:before="0" w:after="0" w:line="240" w:lineRule="auto"/>
              <w:ind w:left="0" w:right="0" w:firstLine="0"/>
              <w:jc w:val="left"/>
            </w:pPr>
            <w:r>
              <w:rPr>
                <w:b/>
                <w:lang w:val="en-US"/>
              </w:rPr>
              <w:t xml:space="preserve">Impact</w:t>
            </w:r>
          </w:p>
        </w:tc>
        <w:tc>
          <w:tcPr>
            <w:tcW w:w="2256" w:type="dxa"/>
            <w:shd w:val="clear" w:color="auto" w:fill="0B2A5C"/>
          </w:tcPr>
          <w:p>
            <w:pPr>
              <w:pStyle w:val="TableHeading"/>
              <w:spacing w:before="0" w:after="0" w:line="240" w:lineRule="auto"/>
              <w:ind w:left="0" w:right="0" w:firstLine="0"/>
              <w:jc w:val="left"/>
            </w:pPr>
            <w:r>
              <w:rPr>
                <w:b/>
                <w:lang w:val="en-US"/>
              </w:rPr>
              <w:t xml:space="preserve">Mitigation</w:t>
            </w:r>
          </w:p>
        </w:tc>
      </w:tr>
      <w:tr>
        <w:trPr>
          <w:cantSplit/>
        </w:trPr>
        <w:tc>
          <w:tcPr>
            <w:tcW w:w="2257" w:type="dxa"/>
          </w:tcPr>
          <w:p>
            <w:pPr>
              <w:pStyle w:val="TableText"/>
              <w:spacing w:before="0" w:after="0" w:line="240" w:lineRule="auto"/>
              <w:ind w:left="0" w:right="0" w:firstLine="0"/>
              <w:jc w:val="left"/>
            </w:pPr>
            <w:r>
              <w:rPr>
                <w:lang w:val="en-US"/>
              </w:rPr>
              <w:t xml:space="preserve">[Inference] Unknown data locations or access paths</w:t>
            </w:r>
          </w:p>
        </w:tc>
        <w:tc>
          <w:tcPr>
            <w:tcW w:w="2257" w:type="dxa"/>
          </w:tcPr>
          <w:p>
            <w:pPr>
              <w:pStyle w:val="TableText"/>
              <w:spacing w:before="0" w:after="0" w:line="240" w:lineRule="auto"/>
              <w:ind w:left="0" w:right="0" w:firstLine="0"/>
              <w:jc w:val="left"/>
            </w:pPr>
            <w:r>
              <w:rPr>
                <w:lang w:val="en-US"/>
              </w:rPr>
              <w:t xml:space="preserve">[Inference] High</w:t>
            </w:r>
          </w:p>
        </w:tc>
        <w:tc>
          <w:tcPr>
            <w:tcW w:w="2256" w:type="dxa"/>
          </w:tcPr>
          <w:p>
            <w:pPr>
              <w:pStyle w:val="TableText"/>
              <w:spacing w:before="0" w:after="0" w:line="240" w:lineRule="auto"/>
              <w:ind w:left="0" w:right="0" w:firstLine="0"/>
              <w:jc w:val="left"/>
            </w:pPr>
            <w:r>
              <w:rPr>
                <w:lang w:val="en-US"/>
              </w:rPr>
              <w:t xml:space="preserve">[Inference] High</w:t>
            </w:r>
          </w:p>
        </w:tc>
        <w:tc>
          <w:tcPr>
            <w:tcW w:w="2256" w:type="dxa"/>
          </w:tcPr>
          <w:p>
            <w:pPr>
              <w:pStyle w:val="TableText"/>
              <w:spacing w:before="0" w:after="0" w:line="240" w:lineRule="auto"/>
              <w:ind w:left="0" w:right="0" w:firstLine="0"/>
              <w:jc w:val="left"/>
            </w:pPr>
            <w:r>
              <w:rPr>
                <w:lang w:val="en-US"/>
              </w:rPr>
              <w:t xml:space="preserve">Complete inventory across paper, systems, devices, personnel, and providers.</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[Inference] Unnecessary retention increases potential exposure</w:t>
            </w:r>
          </w:p>
        </w:tc>
        <w:tc>
          <w:tcPr>
            <w:tcW w:w="2257" w:type="dxa"/>
            <w:shd w:val="clear" w:color="auto" w:fill="F4F7FB"/>
          </w:tcPr>
          <w:p>
            <w:pPr>
              <w:pStyle w:val="TableText"/>
              <w:spacing w:before="0" w:after="0" w:line="240" w:lineRule="auto"/>
              <w:ind w:left="0" w:right="0" w:firstLine="0"/>
              <w:jc w:val="left"/>
            </w:pPr>
            <w:r>
              <w:rPr>
                <w:lang w:val="en-US"/>
              </w:rPr>
              <w:t xml:space="preserve">[Inference] Medium</w:t>
            </w:r>
          </w:p>
        </w:tc>
        <w:tc>
          <w:tcPr>
            <w:tcW w:w="2256" w:type="dxa"/>
            <w:shd w:val="clear" w:color="auto" w:fill="F4F7FB"/>
          </w:tcPr>
          <w:p>
            <w:pPr>
              <w:pStyle w:val="TableText"/>
              <w:spacing w:before="0" w:after="0" w:line="240" w:lineRule="auto"/>
              <w:ind w:left="0" w:right="0" w:firstLine="0"/>
              <w:jc w:val="left"/>
            </w:pPr>
            <w:r>
              <w:rPr>
                <w:lang w:val="en-US"/>
              </w:rPr>
              <w:t xml:space="preserve">[Inference] High</w:t>
            </w:r>
          </w:p>
        </w:tc>
        <w:tc>
          <w:tcPr>
            <w:tcW w:w="2256" w:type="dxa"/>
            <w:shd w:val="clear" w:color="auto" w:fill="F4F7FB"/>
          </w:tcPr>
          <w:p>
            <w:pPr>
              <w:pStyle w:val="TableText"/>
              <w:spacing w:before="0" w:after="0" w:line="240" w:lineRule="auto"/>
              <w:ind w:left="0" w:right="0" w:firstLine="0"/>
              <w:jc w:val="left"/>
            </w:pPr>
            <w:r>
              <w:rPr>
                <w:lang w:val="en-US"/>
              </w:rPr>
              <w:t xml:space="preserve">Validate retention needs, reduce access, and securely dispose of approved records.</w:t>
            </w:r>
          </w:p>
        </w:tc>
      </w:tr>
      <w:tr>
        <w:trPr>
          <w:cantSplit/>
        </w:trPr>
        <w:tc>
          <w:tcPr>
            <w:tcW w:w="2257" w:type="dxa"/>
          </w:tcPr>
          <w:p>
            <w:pPr>
              <w:pStyle w:val="TableText"/>
              <w:spacing w:before="0" w:after="0" w:line="240" w:lineRule="auto"/>
              <w:ind w:left="0" w:right="0" w:firstLine="0"/>
              <w:jc w:val="left"/>
            </w:pPr>
            <w:r>
              <w:rPr>
                <w:lang w:val="en-US"/>
              </w:rPr>
              <w:t xml:space="preserve">[Inference] Physical loss or unauthorized viewing of paper records</w:t>
            </w:r>
          </w:p>
        </w:tc>
        <w:tc>
          <w:tcPr>
            <w:tcW w:w="2257" w:type="dxa"/>
          </w:tcPr>
          <w:p>
            <w:pPr>
              <w:pStyle w:val="TableText"/>
              <w:spacing w:before="0" w:after="0" w:line="240" w:lineRule="auto"/>
              <w:ind w:left="0" w:right="0" w:firstLine="0"/>
              <w:jc w:val="left"/>
            </w:pPr>
            <w:r>
              <w:rPr>
                <w:lang w:val="en-US"/>
              </w:rPr>
              <w:t xml:space="preserve">[Inference] Medium</w:t>
            </w:r>
          </w:p>
        </w:tc>
        <w:tc>
          <w:tcPr>
            <w:tcW w:w="2256" w:type="dxa"/>
          </w:tcPr>
          <w:p>
            <w:pPr>
              <w:pStyle w:val="TableText"/>
              <w:spacing w:before="0" w:after="0" w:line="240" w:lineRule="auto"/>
              <w:ind w:left="0" w:right="0" w:firstLine="0"/>
              <w:jc w:val="left"/>
            </w:pPr>
            <w:r>
              <w:rPr>
                <w:lang w:val="en-US"/>
              </w:rPr>
              <w:t xml:space="preserve">[Inference] High</w:t>
            </w:r>
          </w:p>
        </w:tc>
        <w:tc>
          <w:tcPr>
            <w:tcW w:w="2256" w:type="dxa"/>
          </w:tcPr>
          <w:p>
            <w:pPr>
              <w:pStyle w:val="TableText"/>
              <w:spacing w:before="0" w:after="0" w:line="240" w:lineRule="auto"/>
              <w:ind w:left="0" w:right="0" w:firstLine="0"/>
              <w:jc w:val="left"/>
            </w:pPr>
            <w:r>
              <w:rPr>
                <w:lang w:val="en-US"/>
              </w:rPr>
              <w:t xml:space="preserve">Use locked storage, key control, clean-desk practices, and secure destruction.</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[Inference] Unauthorized electronic access or malware</w:t>
            </w:r>
          </w:p>
        </w:tc>
        <w:tc>
          <w:tcPr>
            <w:tcW w:w="2257" w:type="dxa"/>
            <w:shd w:val="clear" w:color="auto" w:fill="F4F7FB"/>
          </w:tcPr>
          <w:p>
            <w:pPr>
              <w:pStyle w:val="TableText"/>
              <w:spacing w:before="0" w:after="0" w:line="240" w:lineRule="auto"/>
              <w:ind w:left="0" w:right="0" w:firstLine="0"/>
              <w:jc w:val="left"/>
            </w:pPr>
            <w:r>
              <w:rPr>
                <w:lang w:val="en-US"/>
              </w:rPr>
              <w:t xml:space="preserve">[Inference] Medium</w:t>
            </w:r>
          </w:p>
        </w:tc>
        <w:tc>
          <w:tcPr>
            <w:tcW w:w="2256" w:type="dxa"/>
            <w:shd w:val="clear" w:color="auto" w:fill="F4F7FB"/>
          </w:tcPr>
          <w:p>
            <w:pPr>
              <w:pStyle w:val="TableText"/>
              <w:spacing w:before="0" w:after="0" w:line="240" w:lineRule="auto"/>
              <w:ind w:left="0" w:right="0" w:firstLine="0"/>
              <w:jc w:val="left"/>
            </w:pPr>
            <w:r>
              <w:rPr>
                <w:lang w:val="en-US"/>
              </w:rPr>
              <w:t xml:space="preserve">[Inference] High</w:t>
            </w:r>
          </w:p>
        </w:tc>
        <w:tc>
          <w:tcPr>
            <w:tcW w:w="2256" w:type="dxa"/>
            <w:shd w:val="clear" w:color="auto" w:fill="F4F7FB"/>
          </w:tcPr>
          <w:p>
            <w:pPr>
              <w:pStyle w:val="TableText"/>
              <w:spacing w:before="0" w:after="0" w:line="240" w:lineRule="auto"/>
              <w:ind w:left="0" w:right="0" w:firstLine="0"/>
              <w:jc w:val="left"/>
            </w:pPr>
            <w:r>
              <w:rPr>
                <w:lang w:val="en-US"/>
              </w:rPr>
              <w:t xml:space="preserve">Apply access discipline, strong authentication, updates, anti-malware protections, and appropriate encryption.</w:t>
            </w:r>
          </w:p>
        </w:tc>
      </w:tr>
      <w:tr>
        <w:trPr>
          <w:cantSplit/>
        </w:trPr>
        <w:tc>
          <w:tcPr>
            <w:tcW w:w="2257" w:type="dxa"/>
          </w:tcPr>
          <w:p>
            <w:pPr>
              <w:pStyle w:val="TableText"/>
              <w:spacing w:before="0" w:after="0" w:line="240" w:lineRule="auto"/>
              <w:ind w:left="0" w:right="0" w:firstLine="0"/>
              <w:jc w:val="left"/>
            </w:pPr>
            <w:r>
              <w:rPr>
                <w:lang w:val="en-US"/>
              </w:rPr>
              <w:t xml:space="preserve">[Inference] Delayed or disorganized incident response</w:t>
            </w:r>
          </w:p>
        </w:tc>
        <w:tc>
          <w:tcPr>
            <w:tcW w:w="2257" w:type="dxa"/>
          </w:tcPr>
          <w:p>
            <w:pPr>
              <w:pStyle w:val="TableText"/>
              <w:spacing w:before="0" w:after="0" w:line="240" w:lineRule="auto"/>
              <w:ind w:left="0" w:right="0" w:firstLine="0"/>
              <w:jc w:val="left"/>
            </w:pPr>
            <w:r>
              <w:rPr>
                <w:lang w:val="en-US"/>
              </w:rPr>
              <w:t xml:space="preserve">[Inference] Medium</w:t>
            </w:r>
          </w:p>
        </w:tc>
        <w:tc>
          <w:tcPr>
            <w:tcW w:w="2256" w:type="dxa"/>
          </w:tcPr>
          <w:p>
            <w:pPr>
              <w:pStyle w:val="TableText"/>
              <w:spacing w:before="0" w:after="0" w:line="240" w:lineRule="auto"/>
              <w:ind w:left="0" w:right="0" w:firstLine="0"/>
              <w:jc w:val="left"/>
            </w:pPr>
            <w:r>
              <w:rPr>
                <w:lang w:val="en-US"/>
              </w:rPr>
              <w:t xml:space="preserve">[Inference] High</w:t>
            </w:r>
          </w:p>
        </w:tc>
        <w:tc>
          <w:tcPr>
            <w:tcW w:w="2256" w:type="dxa"/>
          </w:tcPr>
          <w:p>
            <w:pPr>
              <w:pStyle w:val="TableText"/>
              <w:spacing w:before="0" w:after="0" w:line="240" w:lineRule="auto"/>
              <w:ind w:left="0" w:right="0" w:firstLine="0"/>
              <w:jc w:val="left"/>
            </w:pPr>
            <w:r>
              <w:rPr>
                <w:lang w:val="en-US"/>
              </w:rPr>
              <w:t xml:space="preserve">Name a coordinator, preserve contacts, document actions, and conduct a scenario walk-through.</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[Inference] Incentive misalignment favors speed over secure handling</w:t>
            </w:r>
          </w:p>
        </w:tc>
        <w:tc>
          <w:tcPr>
            <w:tcW w:w="2257" w:type="dxa"/>
            <w:shd w:val="clear" w:color="auto" w:fill="F4F7FB"/>
          </w:tcPr>
          <w:p>
            <w:pPr>
              <w:pStyle w:val="TableText"/>
              <w:spacing w:before="0" w:after="0" w:line="240" w:lineRule="auto"/>
              <w:ind w:left="0" w:right="0" w:firstLine="0"/>
              <w:jc w:val="left"/>
            </w:pPr>
            <w:r>
              <w:rPr>
                <w:lang w:val="en-US"/>
              </w:rPr>
              <w:t xml:space="preserve">[Inference] Medium</w:t>
            </w:r>
          </w:p>
        </w:tc>
        <w:tc>
          <w:tcPr>
            <w:tcW w:w="2256" w:type="dxa"/>
            <w:shd w:val="clear" w:color="auto" w:fill="F4F7FB"/>
          </w:tcPr>
          <w:p>
            <w:pPr>
              <w:pStyle w:val="TableText"/>
              <w:spacing w:before="0" w:after="0" w:line="240" w:lineRule="auto"/>
              <w:ind w:left="0" w:right="0" w:firstLine="0"/>
              <w:jc w:val="left"/>
            </w:pPr>
            <w:r>
              <w:rPr>
                <w:lang w:val="en-US"/>
              </w:rPr>
              <w:t xml:space="preserve">[Inference] Medium</w:t>
            </w:r>
          </w:p>
        </w:tc>
        <w:tc>
          <w:tcPr>
            <w:tcW w:w="2256" w:type="dxa"/>
            <w:shd w:val="clear" w:color="auto" w:fill="F4F7FB"/>
          </w:tcPr>
          <w:p>
            <w:pPr>
              <w:pStyle w:val="TableText"/>
              <w:spacing w:before="0" w:after="0" w:line="240" w:lineRule="auto"/>
              <w:ind w:left="0" w:right="0" w:firstLine="0"/>
              <w:jc w:val="left"/>
            </w:pPr>
            <w:r>
              <w:rPr>
                <w:lang w:val="en-US"/>
              </w:rPr>
              <w:t xml:space="preserve">Make security responsibilities explicit and enforce handling expectations consistently.</w:t>
            </w:r>
          </w:p>
        </w:tc>
      </w:tr>
    </w:tbl>
    <w:p>
      <w:pPr>
        <w:pStyle w:val="Normal"/>
      </w:pPr>
      <w:r>
        <w:rPr>
          <w:lang w:val="en-US"/>
        </w:rPr>
        <w:t xml:space="preserve">[Fact] The FTC recommends disciplinary measures for security-policy violations and regular training that includes reporting suspicious activity and potential breaches. [1] [Inference] This supports clear accountability where convenience or commercial urgency could otherwise weaken control discipline.</w:t>
      </w:r>
    </w:p>
    <w:p>
      <w:pPr>
        <w:pStyle w:val="Heading3"/>
        <w:outlineLvl w:val="2"/>
      </w:pPr>
      <w:r>
        <w:rPr>
          <w:lang w:val="en-US"/>
        </w:rPr>
        <w:t xml:space="preserve">Assumptions</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4513"/>
        <w:gridCol w:w="4513"/>
      </w:tblGrid>
      <w:tr>
        <w:trPr>
          <w:cantSplit/>
          <w:tblHeader/>
        </w:trPr>
        <w:tc>
          <w:tcPr>
            <w:tcW w:w="4513" w:type="dxa"/>
            <w:shd w:val="clear" w:color="auto" w:fill="0B2A5C"/>
          </w:tcPr>
          <w:p>
            <w:pPr>
              <w:pStyle w:val="TableHeading"/>
              <w:spacing w:before="0" w:after="0" w:line="240" w:lineRule="auto"/>
              <w:ind w:left="0" w:right="0" w:firstLine="0"/>
              <w:jc w:val="left"/>
            </w:pPr>
            <w:r>
              <w:rPr>
                <w:b/>
                <w:lang w:val="en-US"/>
              </w:rPr>
              <w:t xml:space="preserve">Assumption</w:t>
            </w:r>
          </w:p>
        </w:tc>
        <w:tc>
          <w:tcPr>
            <w:tcW w:w="4513" w:type="dxa"/>
            <w:shd w:val="clear" w:color="auto" w:fill="0B2A5C"/>
          </w:tcPr>
          <w:p>
            <w:pPr>
              <w:pStyle w:val="TableHeading"/>
              <w:spacing w:before="0" w:after="0" w:line="240" w:lineRule="auto"/>
              <w:ind w:left="0" w:right="0" w:firstLine="0"/>
              <w:jc w:val="left"/>
            </w:pPr>
            <w:r>
              <w:rPr>
                <w:b/>
                <w:lang w:val="en-US"/>
              </w:rPr>
              <w:t xml:space="preserve">Implication if incorrect</w:t>
            </w:r>
          </w:p>
        </w:tc>
      </w:tr>
      <w:tr>
        <w:trPr>
          <w:cantSplit/>
        </w:trPr>
        <w:tc>
          <w:tcPr>
            <w:tcW w:w="4513" w:type="dxa"/>
          </w:tcPr>
          <w:p>
            <w:pPr>
              <w:pStyle w:val="TableText"/>
              <w:spacing w:before="0" w:after="0" w:line="240" w:lineRule="auto"/>
              <w:ind w:left="0" w:right="0" w:firstLine="0"/>
              <w:jc w:val="left"/>
            </w:pPr>
            <w:r>
              <w:rPr>
                <w:lang w:val="en-US"/>
              </w:rPr>
              <w:t xml:space="preserve">The business stores customer personal information in paper and electronic environments.</w:t>
            </w:r>
          </w:p>
        </w:tc>
        <w:tc>
          <w:tcPr>
            <w:tcW w:w="4513" w:type="dxa"/>
          </w:tcPr>
          <w:p>
            <w:pPr>
              <w:pStyle w:val="TableText"/>
              <w:spacing w:before="0" w:after="0" w:line="240" w:lineRule="auto"/>
              <w:ind w:left="0" w:right="0" w:firstLine="0"/>
              <w:jc w:val="left"/>
            </w:pPr>
            <w:r>
              <w:rPr>
                <w:lang w:val="en-US"/>
              </w:rPr>
              <w:t xml:space="preserve">The inventory scope and control priorities may need adjustment.</w:t>
            </w:r>
          </w:p>
        </w:tc>
      </w:tr>
      <w:tr>
        <w:trPr>
          <w:cantSplit/>
        </w:trPr>
        <w:tc>
          <w:tcPr>
            <w:tcW w:w="4513" w:type="dxa"/>
            <w:shd w:val="clear" w:color="auto" w:fill="F4F7FB"/>
          </w:tcPr>
          <w:p>
            <w:pPr>
              <w:pStyle w:val="TableText"/>
              <w:spacing w:before="0" w:after="0" w:line="240" w:lineRule="auto"/>
              <w:ind w:left="0" w:right="0" w:firstLine="0"/>
              <w:jc w:val="left"/>
            </w:pPr>
            <w:r>
              <w:rPr>
                <w:lang w:val="en-US"/>
              </w:rPr>
              <w:t xml:space="preserve">The business has limited dedicated security capacity.</w:t>
            </w:r>
          </w:p>
        </w:tc>
        <w:tc>
          <w:tcPr>
            <w:tcW w:w="4513" w:type="dxa"/>
            <w:shd w:val="clear" w:color="auto" w:fill="F4F7FB"/>
          </w:tcPr>
          <w:p>
            <w:pPr>
              <w:pStyle w:val="TableText"/>
              <w:spacing w:before="0" w:after="0" w:line="240" w:lineRule="auto"/>
              <w:ind w:left="0" w:right="0" w:firstLine="0"/>
              <w:jc w:val="left"/>
            </w:pPr>
            <w:r>
              <w:rPr>
                <w:lang w:val="en-US"/>
              </w:rPr>
              <w:t xml:space="preserve">More specialized implementation may be feasible than assumed.</w:t>
            </w:r>
          </w:p>
        </w:tc>
      </w:tr>
      <w:tr>
        <w:trPr>
          <w:cantSplit/>
        </w:trPr>
        <w:tc>
          <w:tcPr>
            <w:tcW w:w="4513" w:type="dxa"/>
          </w:tcPr>
          <w:p>
            <w:pPr>
              <w:pStyle w:val="TableText"/>
              <w:spacing w:before="0" w:after="0" w:line="240" w:lineRule="auto"/>
              <w:ind w:left="0" w:right="0" w:firstLine="0"/>
              <w:jc w:val="left"/>
            </w:pPr>
            <w:r>
              <w:rPr>
                <w:lang w:val="en-US"/>
              </w:rPr>
              <w:t xml:space="preserve">Existing safeguards and incident procedures are not fully documented.</w:t>
            </w:r>
          </w:p>
        </w:tc>
        <w:tc>
          <w:tcPr>
            <w:tcW w:w="4513" w:type="dxa"/>
          </w:tcPr>
          <w:p>
            <w:pPr>
              <w:pStyle w:val="TableText"/>
              <w:spacing w:before="0" w:after="0" w:line="240" w:lineRule="auto"/>
              <w:ind w:left="0" w:right="0" w:firstLine="0"/>
              <w:jc w:val="left"/>
            </w:pPr>
            <w:r>
              <w:rPr>
                <w:lang w:val="en-US"/>
              </w:rPr>
              <w:t xml:space="preserve">Some recommended actions may already be complete and should be validated rather than duplicated.</w:t>
            </w:r>
          </w:p>
        </w:tc>
      </w:tr>
      <w:tr>
        <w:trPr>
          <w:cantSplit/>
        </w:trPr>
        <w:tc>
          <w:tcPr>
            <w:tcW w:w="4513" w:type="dxa"/>
            <w:shd w:val="clear" w:color="auto" w:fill="F4F7FB"/>
          </w:tcPr>
          <w:p>
            <w:pPr>
              <w:pStyle w:val="TableText"/>
              <w:spacing w:before="0" w:after="0" w:line="240" w:lineRule="auto"/>
              <w:ind w:left="0" w:right="0" w:firstLine="0"/>
              <w:jc w:val="left"/>
            </w:pPr>
            <w:r>
              <w:rPr>
                <w:lang w:val="en-US"/>
              </w:rPr>
              <w:t xml:space="preserve">Legal, contractual, and retention requirements are not yet known.</w:t>
            </w:r>
          </w:p>
        </w:tc>
        <w:tc>
          <w:tcPr>
            <w:tcW w:w="4513" w:type="dxa"/>
            <w:shd w:val="clear" w:color="auto" w:fill="F4F7FB"/>
          </w:tcPr>
          <w:p>
            <w:pPr>
              <w:pStyle w:val="TableText"/>
              <w:spacing w:before="0" w:after="0" w:line="240" w:lineRule="auto"/>
              <w:ind w:left="0" w:right="0" w:firstLine="0"/>
              <w:jc w:val="left"/>
            </w:pPr>
            <w:r>
              <w:rPr>
                <w:lang w:val="en-US"/>
              </w:rPr>
              <w:t xml:space="preserve">Disposal and notification procedures require review before finalization.</w:t>
            </w:r>
          </w:p>
        </w:tc>
      </w:tr>
      <w:tr>
        <w:trPr>
          <w:cantSplit/>
        </w:trPr>
        <w:tc>
          <w:tcPr>
            <w:tcW w:w="4513" w:type="dxa"/>
          </w:tcPr>
          <w:p>
            <w:pPr>
              <w:pStyle w:val="TableText"/>
              <w:spacing w:before="0" w:after="0" w:line="240" w:lineRule="auto"/>
              <w:ind w:left="0" w:right="0" w:firstLine="0"/>
              <w:jc w:val="left"/>
            </w:pPr>
            <w:r>
              <w:rPr>
                <w:lang w:val="en-US"/>
              </w:rPr>
              <w:t xml:space="preserve">The owner can assign accountable staff members.</w:t>
            </w:r>
          </w:p>
        </w:tc>
        <w:tc>
          <w:tcPr>
            <w:tcW w:w="4513" w:type="dxa"/>
          </w:tcPr>
          <w:p>
            <w:pPr>
              <w:pStyle w:val="TableText"/>
              <w:spacing w:before="0" w:after="0" w:line="240" w:lineRule="auto"/>
              <w:ind w:left="0" w:right="0" w:firstLine="0"/>
              <w:jc w:val="left"/>
            </w:pPr>
            <w:r>
              <w:rPr>
                <w:lang w:val="en-US"/>
              </w:rPr>
              <w:t xml:space="preserve">External support or revised governance may be required.</w:t>
            </w:r>
          </w:p>
        </w:tc>
      </w:tr>
    </w:tbl>
    <w:p>
      <w:pPr>
        <w:pStyle w:val="Heading3"/>
        <w:outlineLvl w:val="2"/>
      </w:pPr>
      <w:r>
        <w:rPr>
          <w:lang w:val="en-US"/>
        </w:rPr>
        <w:t xml:space="preserve">Dependencies</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4513"/>
        <w:gridCol w:w="4513"/>
      </w:tblGrid>
      <w:tr>
        <w:trPr>
          <w:cantSplit/>
          <w:tblHeader/>
        </w:trPr>
        <w:tc>
          <w:tcPr>
            <w:tcW w:w="4513" w:type="dxa"/>
            <w:shd w:val="clear" w:color="auto" w:fill="0B2A5C"/>
          </w:tcPr>
          <w:p>
            <w:pPr>
              <w:pStyle w:val="TableHeading"/>
              <w:spacing w:before="0" w:after="0" w:line="240" w:lineRule="auto"/>
              <w:ind w:left="0" w:right="0" w:firstLine="0"/>
              <w:jc w:val="left"/>
            </w:pPr>
            <w:r>
              <w:rPr>
                <w:b/>
                <w:lang w:val="en-US"/>
              </w:rPr>
              <w:t xml:space="preserve">Dependency</w:t>
            </w:r>
          </w:p>
        </w:tc>
        <w:tc>
          <w:tcPr>
            <w:tcW w:w="4513" w:type="dxa"/>
            <w:shd w:val="clear" w:color="auto" w:fill="0B2A5C"/>
          </w:tcPr>
          <w:p>
            <w:pPr>
              <w:pStyle w:val="TableHeading"/>
              <w:spacing w:before="0" w:after="0" w:line="240" w:lineRule="auto"/>
              <w:ind w:left="0" w:right="0" w:firstLine="0"/>
              <w:jc w:val="left"/>
            </w:pPr>
            <w:r>
              <w:rPr>
                <w:b/>
                <w:lang w:val="en-US"/>
              </w:rPr>
              <w:t xml:space="preserve">Required outcome</w:t>
            </w:r>
          </w:p>
        </w:tc>
      </w:tr>
      <w:tr>
        <w:trPr>
          <w:cantSplit/>
        </w:trPr>
        <w:tc>
          <w:tcPr>
            <w:tcW w:w="4513" w:type="dxa"/>
          </w:tcPr>
          <w:p>
            <w:pPr>
              <w:pStyle w:val="TableText"/>
              <w:spacing w:before="0" w:after="0" w:line="240" w:lineRule="auto"/>
              <w:ind w:left="0" w:right="0" w:firstLine="0"/>
              <w:jc w:val="left"/>
            </w:pPr>
            <w:r>
              <w:rPr>
                <w:lang w:val="en-US"/>
              </w:rPr>
              <w:t xml:space="preserve">Owner sponsorship</w:t>
            </w:r>
          </w:p>
        </w:tc>
        <w:tc>
          <w:tcPr>
            <w:tcW w:w="4513" w:type="dxa"/>
          </w:tcPr>
          <w:p>
            <w:pPr>
              <w:pStyle w:val="TableText"/>
              <w:spacing w:before="0" w:after="0" w:line="240" w:lineRule="auto"/>
              <w:ind w:left="0" w:right="0" w:firstLine="0"/>
              <w:jc w:val="left"/>
            </w:pPr>
            <w:r>
              <w:rPr>
                <w:lang w:val="en-US"/>
              </w:rPr>
              <w:t xml:space="preserve">Authority to obtain inventory information, enforce access changes, and assign response roles.</w:t>
            </w:r>
          </w:p>
        </w:tc>
      </w:tr>
      <w:tr>
        <w:trPr>
          <w:cantSplit/>
        </w:trPr>
        <w:tc>
          <w:tcPr>
            <w:tcW w:w="4513" w:type="dxa"/>
            <w:shd w:val="clear" w:color="auto" w:fill="F4F7FB"/>
          </w:tcPr>
          <w:p>
            <w:pPr>
              <w:pStyle w:val="TableText"/>
              <w:spacing w:before="0" w:after="0" w:line="240" w:lineRule="auto"/>
              <w:ind w:left="0" w:right="0" w:firstLine="0"/>
              <w:jc w:val="left"/>
            </w:pPr>
            <w:r>
              <w:rPr>
                <w:lang w:val="en-US"/>
              </w:rPr>
              <w:t xml:space="preserve">Functional participation</w:t>
            </w:r>
          </w:p>
        </w:tc>
        <w:tc>
          <w:tcPr>
            <w:tcW w:w="4513" w:type="dxa"/>
            <w:shd w:val="clear" w:color="auto" w:fill="F4F7FB"/>
          </w:tcPr>
          <w:p>
            <w:pPr>
              <w:pStyle w:val="TableText"/>
              <w:spacing w:before="0" w:after="0" w:line="240" w:lineRule="auto"/>
              <w:ind w:left="0" w:right="0" w:firstLine="0"/>
              <w:jc w:val="left"/>
            </w:pPr>
            <w:r>
              <w:rPr>
                <w:lang w:val="en-US"/>
              </w:rPr>
              <w:t xml:space="preserve">Input from personnel handling sales, accounting, records, customer service, and computer systems.</w:t>
            </w:r>
          </w:p>
        </w:tc>
      </w:tr>
      <w:tr>
        <w:trPr>
          <w:cantSplit/>
        </w:trPr>
        <w:tc>
          <w:tcPr>
            <w:tcW w:w="4513" w:type="dxa"/>
          </w:tcPr>
          <w:p>
            <w:pPr>
              <w:pStyle w:val="TableText"/>
              <w:spacing w:before="0" w:after="0" w:line="240" w:lineRule="auto"/>
              <w:ind w:left="0" w:right="0" w:firstLine="0"/>
              <w:jc w:val="left"/>
            </w:pPr>
            <w:r>
              <w:rPr>
                <w:lang w:val="en-US"/>
              </w:rPr>
              <w:t xml:space="preserve">Retention validation</w:t>
            </w:r>
          </w:p>
        </w:tc>
        <w:tc>
          <w:tcPr>
            <w:tcW w:w="4513" w:type="dxa"/>
          </w:tcPr>
          <w:p>
            <w:pPr>
              <w:pStyle w:val="TableText"/>
              <w:spacing w:before="0" w:after="0" w:line="240" w:lineRule="auto"/>
              <w:ind w:left="0" w:right="0" w:firstLine="0"/>
              <w:jc w:val="left"/>
            </w:pPr>
            <w:r>
              <w:rPr>
                <w:lang w:val="en-US"/>
              </w:rPr>
              <w:t xml:space="preserve">Confirmation of information that must be retained before approved disposal occurs.</w:t>
            </w:r>
          </w:p>
        </w:tc>
      </w:tr>
      <w:tr>
        <w:trPr>
          <w:cantSplit/>
        </w:trPr>
        <w:tc>
          <w:tcPr>
            <w:tcW w:w="4513" w:type="dxa"/>
            <w:shd w:val="clear" w:color="auto" w:fill="F4F7FB"/>
          </w:tcPr>
          <w:p>
            <w:pPr>
              <w:pStyle w:val="TableText"/>
              <w:spacing w:before="0" w:after="0" w:line="240" w:lineRule="auto"/>
              <w:ind w:left="0" w:right="0" w:firstLine="0"/>
              <w:jc w:val="left"/>
            </w:pPr>
            <w:r>
              <w:rPr>
                <w:lang w:val="en-US"/>
              </w:rPr>
              <w:t xml:space="preserve">Service-provider cooperation</w:t>
            </w:r>
          </w:p>
        </w:tc>
        <w:tc>
          <w:tcPr>
            <w:tcW w:w="4513" w:type="dxa"/>
            <w:shd w:val="clear" w:color="auto" w:fill="F4F7FB"/>
          </w:tcPr>
          <w:p>
            <w:pPr>
              <w:pStyle w:val="TableText"/>
              <w:spacing w:before="0" w:after="0" w:line="240" w:lineRule="auto"/>
              <w:ind w:left="0" w:right="0" w:firstLine="0"/>
              <w:jc w:val="left"/>
            </w:pPr>
            <w:r>
              <w:rPr>
                <w:lang w:val="en-US"/>
              </w:rPr>
              <w:t xml:space="preserve">Visibility into provider access, written security expectations, and incident-notification requirements.</w:t>
            </w:r>
          </w:p>
        </w:tc>
      </w:tr>
      <w:tr>
        <w:trPr>
          <w:cantSplit/>
        </w:trPr>
        <w:tc>
          <w:tcPr>
            <w:tcW w:w="4513" w:type="dxa"/>
          </w:tcPr>
          <w:p>
            <w:pPr>
              <w:pStyle w:val="TableText"/>
              <w:spacing w:before="0" w:after="0" w:line="240" w:lineRule="auto"/>
              <w:ind w:left="0" w:right="0" w:firstLine="0"/>
              <w:jc w:val="left"/>
            </w:pPr>
            <w:r>
              <w:rPr>
                <w:lang w:val="en-US"/>
              </w:rPr>
              <w:t xml:space="preserve">Legal and specialist support</w:t>
            </w:r>
          </w:p>
        </w:tc>
        <w:tc>
          <w:tcPr>
            <w:tcW w:w="4513" w:type="dxa"/>
          </w:tcPr>
          <w:p>
            <w:pPr>
              <w:pStyle w:val="TableText"/>
              <w:spacing w:before="0" w:after="0" w:line="240" w:lineRule="auto"/>
              <w:ind w:left="0" w:right="0" w:firstLine="0"/>
              <w:jc w:val="left"/>
            </w:pPr>
            <w:r>
              <w:rPr>
                <w:lang w:val="en-US"/>
              </w:rPr>
              <w:t xml:space="preserve">Advice when notification, retention, forensic, or technical issues exceed internal competence.</w:t>
            </w:r>
          </w:p>
        </w:tc>
      </w:tr>
    </w:tbl>
    <w:p>
      <w:pPr>
        <w:pStyle w:val="Heading2"/>
        <w:outlineLvl w:val="1"/>
      </w:pPr>
      <w:r>
        <w:rPr>
          <w:lang w:val="en-US"/>
        </w:rPr>
        <w:t xml:space="preserve">Implementation Roadmap</w:t>
      </w:r>
    </w:p>
    <w:p>
      <w:pPr>
        <w:pStyle w:val="Normal"/>
      </w:pPr>
      <w:r>
        <w:rPr>
          <w:lang w:val="en-US"/>
        </w:rPr>
        <w:t xml:space="preserve">[Assumption] The roadmap is designed for execution during the next quarter. It uses phased milestones rather than fixed calendar dates because staff availability and current-state complexity are unknown.</w:t>
      </w:r>
    </w:p>
    <w:p>
      <w:pPr>
        <w:pStyle w:val="Caption"/>
        <w:jc w:val="center"/>
      </w:pPr>
      <w:r>
        <w:rPr>
          <w:lang w:val="en-US"/>
        </w:rPr>
        <w:t xml:space="preserve">Implementation roadmap</w:t>
      </w:r>
    </w:p>
    <w:p>
      <w:pPr>
        <w:pStyle w:val="Normal"/>
      </w:pPr>
      <w:r>
        <w:rPr>
          <w:lang w:val="en-US"/>
        </w:rPr>
        <w:t xml:space="preserve">Phase 1</w:t>
      </w:r>
    </w:p>
    <w:p>
      <w:pPr>
        <w:pStyle w:val="Normal"/>
      </w:pPr>
      <w:r>
        <w:rPr>
          <w:lang w:val="en-US"/>
        </w:rPr>
        <w:t xml:space="preserve">Assign owner and inventory information, locations, access, devices, paper files, and providers.</w:t>
      </w:r>
    </w:p>
    <w:p>
      <w:pPr>
        <w:pStyle w:val="Normal"/>
      </w:pPr>
      <w:r>
        <w:rPr>
          <w:lang w:val="en-US"/>
        </w:rPr>
        <w:t xml:space="preserve">→</w:t>
      </w:r>
    </w:p>
    <w:p>
      <w:pPr>
        <w:pStyle w:val="Normal"/>
      </w:pPr>
      <w:r>
        <w:rPr>
          <w:lang w:val="en-US"/>
        </w:rPr>
        <w:t xml:space="preserve">Phase 2</w:t>
      </w:r>
    </w:p>
    <w:p>
      <w:pPr>
        <w:pStyle w:val="Normal"/>
      </w:pPr>
      <w:r>
        <w:rPr>
          <w:lang w:val="en-US"/>
        </w:rPr>
        <w:t xml:space="preserve">Classify findings, validate legitimate retention needs, and identify high-priority exposure points.</w:t>
      </w:r>
    </w:p>
    <w:p>
      <w:pPr>
        <w:pStyle w:val="Normal"/>
      </w:pPr>
      <w:r>
        <w:rPr>
          <w:lang w:val="en-US"/>
        </w:rPr>
        <w:t xml:space="preserve">→</w:t>
      </w:r>
    </w:p>
    <w:p>
      <w:pPr>
        <w:pStyle w:val="Normal"/>
      </w:pPr>
      <w:r>
        <w:rPr>
          <w:lang w:val="en-US"/>
        </w:rPr>
        <w:t xml:space="preserve">Phase 3</w:t>
      </w:r>
    </w:p>
    <w:p>
      <w:pPr>
        <w:pStyle w:val="Normal"/>
      </w:pPr>
      <w:r>
        <w:rPr>
          <w:lang w:val="en-US"/>
        </w:rPr>
        <w:t xml:space="preserve">Remove unnecessary information and access; apply immediate physical, electronic, workforce, and provider safeguards.</w:t>
      </w:r>
    </w:p>
    <w:p>
      <w:pPr>
        <w:pStyle w:val="Normal"/>
      </w:pPr>
      <w:r>
        <w:rPr>
          <w:lang w:val="en-US"/>
        </w:rPr>
        <w:t xml:space="preserve">→</w:t>
      </w:r>
    </w:p>
    <w:p>
      <w:pPr>
        <w:pStyle w:val="Normal"/>
      </w:pPr>
      <w:r>
        <w:rPr>
          <w:lang w:val="en-US"/>
        </w:rPr>
        <w:t xml:space="preserve">Phase 4</w:t>
      </w:r>
    </w:p>
    <w:p>
      <w:pPr>
        <w:pStyle w:val="Normal"/>
      </w:pPr>
      <w:r>
        <w:rPr>
          <w:lang w:val="en-US"/>
        </w:rPr>
        <w:t xml:space="preserve">Finalize and test incident response ownership, containment, investigation, communication, and notification procedures.</w:t>
      </w:r>
    </w:p>
    <w:p>
      <w:pPr>
        <w:pStyle w:val="Normal"/>
      </w:pPr>
      <w:r>
        <w:rPr>
          <w:lang w:val="en-US"/>
        </w:rPr>
        <w:t xml:space="preserve">[Inference] The sequence moves from visibility to reduction, protection, and readiness. Early safeguards should proceed in parallel where risks are obvious, including unsecured paper, shared passwords, default credentials, inactive accounts, and unprotected portable media.</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2257"/>
        <w:gridCol w:w="2257"/>
        <w:gridCol w:w="2256"/>
        <w:gridCol w:w="2256"/>
      </w:tblGrid>
      <w:tr>
        <w:trPr>
          <w:cantSplit/>
          <w:tblHeader/>
        </w:trPr>
        <w:tc>
          <w:tcPr>
            <w:tcW w:w="2257" w:type="dxa"/>
            <w:shd w:val="clear" w:color="auto" w:fill="0B2A5C"/>
          </w:tcPr>
          <w:p>
            <w:pPr>
              <w:pStyle w:val="TableHeading"/>
              <w:spacing w:before="0" w:after="0" w:line="240" w:lineRule="auto"/>
              <w:ind w:left="0" w:right="0" w:firstLine="0"/>
              <w:jc w:val="left"/>
            </w:pPr>
            <w:r>
              <w:rPr>
                <w:b/>
                <w:lang w:val="en-US"/>
              </w:rPr>
              <w:t xml:space="preserve">Phase</w:t>
            </w:r>
          </w:p>
        </w:tc>
        <w:tc>
          <w:tcPr>
            <w:tcW w:w="2257" w:type="dxa"/>
            <w:shd w:val="clear" w:color="auto" w:fill="0B2A5C"/>
          </w:tcPr>
          <w:p>
            <w:pPr>
              <w:pStyle w:val="TableHeading"/>
              <w:spacing w:before="0" w:after="0" w:line="240" w:lineRule="auto"/>
              <w:ind w:left="0" w:right="0" w:firstLine="0"/>
              <w:jc w:val="left"/>
            </w:pPr>
            <w:r>
              <w:rPr>
                <w:b/>
                <w:lang w:val="en-US"/>
              </w:rPr>
              <w:t xml:space="preserve">Primary owner</w:t>
            </w:r>
          </w:p>
        </w:tc>
        <w:tc>
          <w:tcPr>
            <w:tcW w:w="2256" w:type="dxa"/>
            <w:shd w:val="clear" w:color="auto" w:fill="0B2A5C"/>
          </w:tcPr>
          <w:p>
            <w:pPr>
              <w:pStyle w:val="TableHeading"/>
              <w:spacing w:before="0" w:after="0" w:line="240" w:lineRule="auto"/>
              <w:ind w:left="0" w:right="0" w:firstLine="0"/>
              <w:jc w:val="left"/>
            </w:pPr>
            <w:r>
              <w:rPr>
                <w:b/>
                <w:lang w:val="en-US"/>
              </w:rPr>
              <w:t xml:space="preserve">Actions</w:t>
            </w:r>
          </w:p>
        </w:tc>
        <w:tc>
          <w:tcPr>
            <w:tcW w:w="2256" w:type="dxa"/>
            <w:shd w:val="clear" w:color="auto" w:fill="0B2A5C"/>
          </w:tcPr>
          <w:p>
            <w:pPr>
              <w:pStyle w:val="TableHeading"/>
              <w:spacing w:before="0" w:after="0" w:line="240" w:lineRule="auto"/>
              <w:ind w:left="0" w:right="0" w:firstLine="0"/>
              <w:jc w:val="left"/>
            </w:pPr>
            <w:r>
              <w:rPr>
                <w:b/>
                <w:lang w:val="en-US"/>
              </w:rPr>
              <w:t xml:space="preserve">Milestone and decision gate</w:t>
            </w:r>
          </w:p>
        </w:tc>
      </w:tr>
      <w:tr>
        <w:trPr>
          <w:cantSplit/>
        </w:trPr>
        <w:tc>
          <w:tcPr>
            <w:tcW w:w="2257" w:type="dxa"/>
          </w:tcPr>
          <w:p>
            <w:pPr>
              <w:pStyle w:val="TableText"/>
              <w:spacing w:before="0" w:after="0" w:line="240" w:lineRule="auto"/>
              <w:ind w:left="0" w:right="0" w:firstLine="0"/>
              <w:jc w:val="left"/>
            </w:pPr>
            <w:r>
              <w:rPr>
                <w:lang w:val="en-US"/>
              </w:rPr>
              <w:t xml:space="preserve">Phase 1: Establish visibility</w:t>
            </w:r>
          </w:p>
        </w:tc>
        <w:tc>
          <w:tcPr>
            <w:tcW w:w="2257" w:type="dxa"/>
          </w:tcPr>
          <w:p>
            <w:pPr>
              <w:pStyle w:val="TableText"/>
              <w:spacing w:before="0" w:after="0" w:line="240" w:lineRule="auto"/>
              <w:ind w:left="0" w:right="0" w:firstLine="0"/>
              <w:jc w:val="left"/>
            </w:pPr>
            <w:r>
              <w:rPr>
                <w:lang w:val="en-US"/>
              </w:rPr>
              <w:t xml:space="preserve">Owner</w:t>
            </w:r>
          </w:p>
        </w:tc>
        <w:tc>
          <w:tcPr>
            <w:tcW w:w="2256" w:type="dxa"/>
          </w:tcPr>
          <w:p>
            <w:pPr>
              <w:pStyle w:val="TableText"/>
              <w:spacing w:before="0" w:after="0" w:line="240" w:lineRule="auto"/>
              <w:ind w:left="0" w:right="0" w:firstLine="0"/>
              <w:jc w:val="left"/>
            </w:pPr>
            <w:r>
              <w:rPr>
                <w:lang w:val="en-US"/>
              </w:rPr>
              <w:t xml:space="preserve">Create inventory of data types, collection channels, locations, devices, access holders, paper records, and providers.</w:t>
            </w:r>
          </w:p>
        </w:tc>
        <w:tc>
          <w:tcPr>
            <w:tcW w:w="2256" w:type="dxa"/>
          </w:tcPr>
          <w:p>
            <w:pPr>
              <w:pStyle w:val="TableText"/>
              <w:spacing w:before="0" w:after="0" w:line="240" w:lineRule="auto"/>
              <w:ind w:left="0" w:right="0" w:firstLine="0"/>
              <w:jc w:val="left"/>
            </w:pPr>
            <w:r>
              <w:rPr>
                <w:lang w:val="en-US"/>
              </w:rPr>
              <w:t xml:space="preserve">Inventory reviewed by responsible business functions. Decide whether specialist review is required.</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Phase 2: Reduce exposure</w:t>
            </w:r>
          </w:p>
        </w:tc>
        <w:tc>
          <w:tcPr>
            <w:tcW w:w="2257" w:type="dxa"/>
            <w:shd w:val="clear" w:color="auto" w:fill="F4F7FB"/>
          </w:tcPr>
          <w:p>
            <w:pPr>
              <w:pStyle w:val="TableText"/>
              <w:spacing w:before="0" w:after="0" w:line="240" w:lineRule="auto"/>
              <w:ind w:left="0" w:right="0" w:firstLine="0"/>
              <w:jc w:val="left"/>
            </w:pPr>
            <w:r>
              <w:rPr>
                <w:lang w:val="en-US"/>
              </w:rPr>
              <w:t xml:space="preserve">Owner with records and operations leads</w:t>
            </w:r>
          </w:p>
        </w:tc>
        <w:tc>
          <w:tcPr>
            <w:tcW w:w="2256" w:type="dxa"/>
            <w:shd w:val="clear" w:color="auto" w:fill="F4F7FB"/>
          </w:tcPr>
          <w:p>
            <w:pPr>
              <w:pStyle w:val="TableText"/>
              <w:spacing w:before="0" w:after="0" w:line="240" w:lineRule="auto"/>
              <w:ind w:left="0" w:right="0" w:firstLine="0"/>
              <w:jc w:val="left"/>
            </w:pPr>
            <w:r>
              <w:rPr>
                <w:lang w:val="en-US"/>
              </w:rPr>
              <w:t xml:space="preserve">Identify unnecessary collection, duplicate retention, unnecessary access, and records eligible for approved disposal.</w:t>
            </w:r>
          </w:p>
        </w:tc>
        <w:tc>
          <w:tcPr>
            <w:tcW w:w="2256" w:type="dxa"/>
            <w:shd w:val="clear" w:color="auto" w:fill="F4F7FB"/>
          </w:tcPr>
          <w:p>
            <w:pPr>
              <w:pStyle w:val="TableText"/>
              <w:spacing w:before="0" w:after="0" w:line="240" w:lineRule="auto"/>
              <w:ind w:left="0" w:right="0" w:firstLine="0"/>
              <w:jc w:val="left"/>
            </w:pPr>
            <w:r>
              <w:rPr>
                <w:lang w:val="en-US"/>
              </w:rPr>
              <w:t xml:space="preserve">Retention and disposal decisions approved before irreversible destruction.</w:t>
            </w:r>
          </w:p>
        </w:tc>
      </w:tr>
      <w:tr>
        <w:trPr>
          <w:cantSplit/>
        </w:trPr>
        <w:tc>
          <w:tcPr>
            <w:tcW w:w="2257" w:type="dxa"/>
          </w:tcPr>
          <w:p>
            <w:pPr>
              <w:pStyle w:val="TableText"/>
              <w:spacing w:before="0" w:after="0" w:line="240" w:lineRule="auto"/>
              <w:ind w:left="0" w:right="0" w:firstLine="0"/>
              <w:jc w:val="left"/>
            </w:pPr>
            <w:r>
              <w:rPr>
                <w:lang w:val="en-US"/>
              </w:rPr>
              <w:t xml:space="preserve">Phase 3: Protect retained information</w:t>
            </w:r>
          </w:p>
        </w:tc>
        <w:tc>
          <w:tcPr>
            <w:tcW w:w="2257" w:type="dxa"/>
          </w:tcPr>
          <w:p>
            <w:pPr>
              <w:pStyle w:val="TableText"/>
              <w:spacing w:before="0" w:after="0" w:line="240" w:lineRule="auto"/>
              <w:ind w:left="0" w:right="0" w:firstLine="0"/>
              <w:jc w:val="left"/>
            </w:pPr>
            <w:r>
              <w:rPr>
                <w:lang w:val="en-US"/>
              </w:rPr>
              <w:t xml:space="preserve">Owner with computer-support and operations leads</w:t>
            </w:r>
          </w:p>
        </w:tc>
        <w:tc>
          <w:tcPr>
            <w:tcW w:w="2256" w:type="dxa"/>
          </w:tcPr>
          <w:p>
            <w:pPr>
              <w:pStyle w:val="TableText"/>
              <w:spacing w:before="0" w:after="0" w:line="240" w:lineRule="auto"/>
              <w:ind w:left="0" w:right="0" w:firstLine="0"/>
              <w:jc w:val="left"/>
            </w:pPr>
            <w:r>
              <w:rPr>
                <w:lang w:val="en-US"/>
              </w:rPr>
              <w:t xml:space="preserve">Lock paper records, limit access, improve password practices, apply updates, train staff, review provider access, and secure disposal processes.</w:t>
            </w:r>
          </w:p>
        </w:tc>
        <w:tc>
          <w:tcPr>
            <w:tcW w:w="2256" w:type="dxa"/>
          </w:tcPr>
          <w:p>
            <w:pPr>
              <w:pStyle w:val="TableText"/>
              <w:spacing w:before="0" w:after="0" w:line="240" w:lineRule="auto"/>
              <w:ind w:left="0" w:right="0" w:firstLine="0"/>
              <w:jc w:val="left"/>
            </w:pPr>
            <w:r>
              <w:rPr>
                <w:lang w:val="en-US"/>
              </w:rPr>
              <w:t xml:space="preserve">High-priority controls confirmed and unresolved gaps escalated.</w:t>
            </w:r>
          </w:p>
        </w:tc>
      </w:tr>
      <w:tr>
        <w:trPr>
          <w:cantSplit/>
        </w:trPr>
        <w:tc>
          <w:tcPr>
            <w:tcW w:w="2257" w:type="dxa"/>
            <w:shd w:val="clear" w:color="auto" w:fill="F4F7FB"/>
          </w:tcPr>
          <w:p>
            <w:pPr>
              <w:pStyle w:val="TableText"/>
              <w:spacing w:before="0" w:after="0" w:line="240" w:lineRule="auto"/>
              <w:ind w:left="0" w:right="0" w:firstLine="0"/>
              <w:jc w:val="left"/>
            </w:pPr>
            <w:r>
              <w:rPr>
                <w:lang w:val="en-US"/>
              </w:rPr>
              <w:t xml:space="preserve">Phase 4: Prepare for exposure</w:t>
            </w:r>
          </w:p>
        </w:tc>
        <w:tc>
          <w:tcPr>
            <w:tcW w:w="2257" w:type="dxa"/>
            <w:shd w:val="clear" w:color="auto" w:fill="F4F7FB"/>
          </w:tcPr>
          <w:p>
            <w:pPr>
              <w:pStyle w:val="TableText"/>
              <w:spacing w:before="0" w:after="0" w:line="240" w:lineRule="auto"/>
              <w:ind w:left="0" w:right="0" w:firstLine="0"/>
              <w:jc w:val="left"/>
            </w:pPr>
            <w:r>
              <w:rPr>
                <w:lang w:val="en-US"/>
              </w:rPr>
              <w:t xml:space="preserve">Named incident coordinator</w:t>
            </w:r>
          </w:p>
        </w:tc>
        <w:tc>
          <w:tcPr>
            <w:tcW w:w="2256" w:type="dxa"/>
            <w:shd w:val="clear" w:color="auto" w:fill="F4F7FB"/>
          </w:tcPr>
          <w:p>
            <w:pPr>
              <w:pStyle w:val="TableText"/>
              <w:spacing w:before="0" w:after="0" w:line="240" w:lineRule="auto"/>
              <w:ind w:left="0" w:right="0" w:firstLine="0"/>
              <w:jc w:val="left"/>
            </w:pPr>
            <w:r>
              <w:rPr>
                <w:lang w:val="en-US"/>
              </w:rPr>
              <w:t xml:space="preserve">Document containment, evidence preservation, investigation, escalation, communications, provider contacts, and notification decision procedures.</w:t>
            </w:r>
          </w:p>
        </w:tc>
        <w:tc>
          <w:tcPr>
            <w:tcW w:w="2256" w:type="dxa"/>
            <w:shd w:val="clear" w:color="auto" w:fill="F4F7FB"/>
          </w:tcPr>
          <w:p>
            <w:pPr>
              <w:pStyle w:val="TableText"/>
              <w:spacing w:before="0" w:after="0" w:line="240" w:lineRule="auto"/>
              <w:ind w:left="0" w:right="0" w:firstLine="0"/>
              <w:jc w:val="left"/>
            </w:pPr>
            <w:r>
              <w:rPr>
                <w:lang w:val="en-US"/>
              </w:rPr>
              <w:t xml:space="preserve">Scenario walk-through completed and improvement actions assigned.</w:t>
            </w:r>
          </w:p>
        </w:tc>
      </w:tr>
    </w:tbl>
    <w:p>
      <w:pPr>
        <w:pStyle w:val="Normal"/>
      </w:pPr>
      <w:r>
        <w:rPr>
          <w:lang w:val="en-US"/>
        </w:rPr>
        <w:t xml:space="preserve">[Fact] The FTC recommends taking affected equipment offline immediately after a breach, without turning machines off before forensic experts arrive. It also recommends preserving evidence and documenting the investigation. [1] [Inference] These actions should appear prominently in the incident procedure because they must be performed quickly under pressure.</w:t>
      </w:r>
    </w:p>
    <w:p>
      <w:pPr>
        <w:pStyle w:val="Normal"/>
      </w:pPr>
      <w:r>
        <w:rPr>
          <w:lang w:val="en-US"/>
        </w:rPr>
        <w:t xml:space="preserve">[Fact] The FTC recommends consulting legal counsel regarding applicable federal and state requirements after a breach. [1] [Inference] The response plan should include legal contact details and a decision path for notification, rather than attempting to pre-decide legal obligations without facts.</w:t>
      </w:r>
    </w:p>
    <w:p>
      <w:pPr>
        <w:pStyle w:val="Heading2"/>
        <w:outlineLvl w:val="1"/>
      </w:pPr>
      <w:r>
        <w:rPr>
          <w:lang w:val="en-US"/>
        </w:rPr>
        <w:t xml:space="preserve">Next Steps</w:t>
      </w:r>
    </w:p>
    <w:p>
      <w:pPr>
        <w:pStyle w:val="ListParagraph"/>
        <w:numPr>
          <w:ilvl w:val="0"/>
          <w:numId w:val="7"/>
        </w:numPr>
        <w:ind w:left="360" w:hanging="240"/>
      </w:pPr>
      <w:r>
        <w:rPr>
          <w:b/>
          <w:lang w:val="en-US"/>
        </w:rPr>
        <w:t xml:space="preserve">Owner, immediate:</w:t>
      </w:r>
      <w:r>
        <w:rPr>
          <w:lang w:val="en-US"/>
        </w:rPr>
        <w:t xml:space="preserve"> Name an accountable program lead and confirm authority to request information from all business functions.</w:t>
      </w:r>
    </w:p>
    <w:p>
      <w:pPr>
        <w:pStyle w:val="ListParagraph"/>
        <w:numPr>
          <w:ilvl w:val="0"/>
          <w:numId w:val="7"/>
        </w:numPr>
        <w:ind w:left="360" w:hanging="240"/>
      </w:pPr>
      <w:r>
        <w:rPr>
          <w:b/>
          <w:lang w:val="en-US"/>
        </w:rPr>
        <w:t xml:space="preserve">Program lead, immediate:</w:t>
      </w:r>
      <w:r>
        <w:rPr>
          <w:lang w:val="en-US"/>
        </w:rPr>
        <w:t xml:space="preserve"> Issue a practical inventory template covering personal information types, paper files, systems, devices, user access, remote access, and providers.</w:t>
      </w:r>
    </w:p>
    <w:p>
      <w:pPr>
        <w:pStyle w:val="ListParagraph"/>
        <w:numPr>
          <w:ilvl w:val="0"/>
          <w:numId w:val="7"/>
        </w:numPr>
        <w:ind w:left="360" w:hanging="240"/>
      </w:pPr>
      <w:r>
        <w:rPr>
          <w:b/>
          <w:lang w:val="en-US"/>
        </w:rPr>
        <w:t xml:space="preserve">Functional leads, early next-quarter:</w:t>
      </w:r>
      <w:r>
        <w:rPr>
          <w:lang w:val="en-US"/>
        </w:rPr>
        <w:t xml:space="preserve"> Complete and validate inventory entries for their areas, including duplicate records and offsite locations.</w:t>
      </w:r>
    </w:p>
    <w:p>
      <w:pPr>
        <w:pStyle w:val="ListParagraph"/>
        <w:numPr>
          <w:ilvl w:val="0"/>
          <w:numId w:val="7"/>
        </w:numPr>
        <w:ind w:left="360" w:hanging="240"/>
      </w:pPr>
      <w:r>
        <w:rPr>
          <w:b/>
          <w:lang w:val="en-US"/>
        </w:rPr>
        <w:t xml:space="preserve">Owner and records lead, after inventory review:</w:t>
      </w:r>
      <w:r>
        <w:rPr>
          <w:lang w:val="en-US"/>
        </w:rPr>
        <w:t xml:space="preserve"> Approve a retention decision process before any disposal occurs.</w:t>
      </w:r>
    </w:p>
    <w:p>
      <w:pPr>
        <w:pStyle w:val="ListParagraph"/>
        <w:numPr>
          <w:ilvl w:val="0"/>
          <w:numId w:val="7"/>
        </w:numPr>
        <w:ind w:left="360" w:hanging="240"/>
      </w:pPr>
      <w:r>
        <w:rPr>
          <w:b/>
          <w:lang w:val="en-US"/>
        </w:rPr>
        <w:t xml:space="preserve">Computer-support lead, in parallel:</w:t>
      </w:r>
      <w:r>
        <w:rPr>
          <w:lang w:val="en-US"/>
        </w:rPr>
        <w:t xml:space="preserve"> Review basic access, password, update, anti-malware, portable-device, and remote-access practices for high-priority information.</w:t>
      </w:r>
    </w:p>
    <w:p>
      <w:pPr>
        <w:pStyle w:val="ListParagraph"/>
        <w:numPr>
          <w:ilvl w:val="0"/>
          <w:numId w:val="7"/>
        </w:numPr>
        <w:ind w:left="360" w:hanging="240"/>
      </w:pPr>
      <w:r>
        <w:rPr>
          <w:b/>
          <w:lang w:val="en-US"/>
        </w:rPr>
        <w:t xml:space="preserve">Owner and provider manager, in parallel:</w:t>
      </w:r>
      <w:r>
        <w:rPr>
          <w:lang w:val="en-US"/>
        </w:rPr>
        <w:t xml:space="preserve"> Identify service providers with access to personal information and document security expectations and incident-notification arrangements.</w:t>
      </w:r>
    </w:p>
    <w:p>
      <w:pPr>
        <w:pStyle w:val="ListParagraph"/>
        <w:numPr>
          <w:ilvl w:val="0"/>
          <w:numId w:val="7"/>
        </w:numPr>
        <w:ind w:left="360" w:hanging="240"/>
      </w:pPr>
      <w:r>
        <w:rPr>
          <w:b/>
          <w:lang w:val="en-US"/>
        </w:rPr>
        <w:t xml:space="preserve">Named incident coordinator, before quarter close:</w:t>
      </w:r>
      <w:r>
        <w:rPr>
          <w:lang w:val="en-US"/>
        </w:rPr>
        <w:t xml:space="preserve"> Produce a concise response plan, maintain contact details, and conduct a scenario walk-through.</w:t>
      </w:r>
    </w:p>
    <w:p>
      <w:pPr>
        <w:pStyle w:val="ListParagraph"/>
        <w:numPr>
          <w:ilvl w:val="0"/>
          <w:numId w:val="7"/>
        </w:numPr>
        <w:ind w:left="360" w:hanging="240"/>
      </w:pPr>
      <w:r>
        <w:rPr>
          <w:b/>
          <w:lang w:val="en-US"/>
        </w:rPr>
        <w:t xml:space="preserve">Owner, quarter-end:</w:t>
      </w:r>
      <w:r>
        <w:rPr>
          <w:lang w:val="en-US"/>
        </w:rPr>
        <w:t xml:space="preserve"> Review unresolved gaps, decide which require external technical or legal support, and approve the subsequent remediation plan.</w:t>
      </w:r>
    </w:p>
    <w:p>
      <w:pPr>
        <w:pStyle w:val="Heading2"/>
        <w:outlineLvl w:val="1"/>
      </w:pPr>
      <w:r>
        <w:rPr>
          <w:lang w:val="en-US"/>
        </w:rPr>
        <w:t xml:space="preserve">Disclaimers and Limitations</w:t>
      </w:r>
    </w:p>
    <w:p>
      <w:pPr>
        <w:pStyle w:val="Normal"/>
      </w:pPr>
      <w:r>
        <w:rPr>
          <w:lang w:val="en-US"/>
        </w:rPr>
        <w:t xml:space="preserve">This report is limited to the supplied FTC materials and the stated decision context. It does not provide legal advice, forensic advice, technical implementation services, or a certification of security or compliance.</w:t>
      </w:r>
    </w:p>
    <w:p>
      <w:pPr>
        <w:pStyle w:val="Normal"/>
      </w:pPr>
      <w:r>
        <w:rPr>
          <w:lang w:val="en-US"/>
        </w:rPr>
        <w:t xml:space="preserve">[Assumption] The business's information types, record volume, system architecture, current controls, provider arrangements, contractual obligations, legal obligations, budget, and staff capacity were not provided. These gaps limit the precision of prioritization, cost assessment, and implementation sequencing.</w:t>
      </w:r>
    </w:p>
    <w:p>
      <w:pPr>
        <w:pStyle w:val="Normal"/>
      </w:pPr>
      <w:r>
        <w:rPr>
          <w:lang w:val="en-US"/>
        </w:rPr>
        <w:t xml:space="preserve">[Fact] The FTC states that most states, the District of Columbia, Puerto Rico, and the Virgin Islands have breach-notification legislation involving personal information. [1] This report does not determine whether any particular notification requirement applies. The owner should obtain qualified legal advice when an incident occurs or before finalizing retention and notification procedures.</w:t>
      </w:r>
    </w:p>
    <w:p>
      <w:pPr>
        <w:pStyle w:val="Normal"/>
      </w:pPr>
      <w:r>
        <w:rPr>
          <w:lang w:val="en-US"/>
        </w:rPr>
        <w:t xml:space="preserve">[Fact] The FTC advises businesses to consider independent forensic investigators after a breach and to consult legal counsel regarding relevant laws. [1] Incident forensics, legal interpretation, specialized security assessment, and technical remediation are outside this report's competence boundary.</w:t>
      </w:r>
    </w:p>
    <w:p>
      <w:pPr>
        <w:pStyle w:val="Normal"/>
      </w:pPr>
      <w:r>
        <w:rPr>
          <w:lang w:val="en-US"/>
        </w:rPr>
        <w:t xml:space="preserve">This report is intended for the owner and relevant internal decision-makers. It should be revisited when the inventory is completed, when business operations change, when a provider relationship changes, or when an actual security incident occurs.</w:t>
      </w:r>
    </w:p>
    <w:p>
      <w:pPr>
        <w:pStyle w:val="Heading2"/>
        <w:outlineLvl w:val="1"/>
      </w:pPr>
      <w:r>
        <w:rPr>
          <w:lang w:val="en-US"/>
        </w:rPr>
        <w:t xml:space="preserve">Sources</w:t>
      </w:r>
    </w:p>
    <w:p>
      <w:pPr>
        <w:pStyle w:val="ListParagraph"/>
        <w:numPr>
          <w:ilvl w:val="0"/>
          <w:numId w:val="8"/>
        </w:numPr>
        <w:ind w:left="360" w:hanging="240"/>
      </w:pPr>
      <w:r>
        <w:rPr>
          <w:lang w:val="en-US"/>
        </w:rPr>
        <w:t xml:space="preserve">Federal Trade Commission, </w:t>
      </w:r>
      <w:r>
        <w:rPr>
          <w:i/>
          <w:lang w:val="en-US"/>
        </w:rPr>
        <w:t xml:space="preserve">Protecting Personal Information: A Guide for Business</w:t>
      </w:r>
      <w:r>
        <w:rPr>
          <w:lang w:val="en-US"/>
        </w:rPr>
        <w:t xml:space="preserve">, October 2016; Federal Trade Commission, </w:t>
      </w:r>
      <w:r>
        <w:rPr>
          <w:i/>
          <w:lang w:val="en-US"/>
        </w:rPr>
        <w:t xml:space="preserve">Data Breach Response: A Guide for Business</w:t>
      </w:r>
      <w:r>
        <w:rPr>
          <w:lang w:val="en-US"/>
        </w:rPr>
        <w:t xml:space="preserve">, May 2019; Federal Trade Commission, </w:t>
      </w:r>
      <w:r>
        <w:rPr>
          <w:i/>
          <w:lang w:val="en-US"/>
        </w:rPr>
        <w:t xml:space="preserve">Start with Security: A Guide for Business</w:t>
      </w:r>
      <w:r>
        <w:rPr>
          <w:lang w:val="en-US"/>
        </w:rPr>
        <w:t xml:space="preserve">, June 2015.</w:t>
      </w:r>
    </w:p>
    <w:sectPr>
      <w:footerReference xmlns:r="http://schemas.openxmlformats.org/officeDocument/2006/relationships" w:type="default" r:id="Rb5ced65b533142f8"/>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Inter">
    <w:family w:val="swiss"/>
    <w:pitch w:val="variable"/>
  </w:font>
  <w:font w:name="Inter Tight">
    <w:family w:val="swiss"/>
    <w:pitch w:val="variable"/>
  </w:font>
  <w:font w:name="JetBrains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2">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abstractNum w:abstractNumId="3">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abstractNum w:abstractNumId="4">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5">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6">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abstractNum w:abstractNumId="7">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8">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bering>
</file>

<file path=word/settings.xml><?xml version="1.0" encoding="utf-8"?>
<w:settings xmlns:w="http://schemas.openxmlformats.org/wordprocessingml/2006/main">
  <w:docVars>
    <w:docVar w:name="CoverComposition" w:val="band"/>
  </w:docVars>
</w:settings>
</file>

<file path=word/styles.xml><?xml version="1.0" encoding="utf-8"?>
<w:styles xmlns:w="http://schemas.openxmlformats.org/wordprocessingml/2006/main">
  <w:docDefaults>
    <w:rPrDefault>
      <w:rPr>
        <w:rFonts w:ascii="Inter" w:hAnsi="Inter" w:eastAsia="Inter" w:cs="Inter"/>
        <w:color w:val="1F2937"/>
        <w:sz w:val="20"/>
        <w:szCs w:val="20"/>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44" w:line="316" w:lineRule="atLeast"/>
      <w:ind w:left="0" w:right="0" w:firstLine="0"/>
      <w:jc w:val="left"/>
    </w:pPr>
    <w:rPr>
      <w:rFonts w:ascii="Inter" w:hAnsi="Inter"/>
      <w:b w:val="false"/>
      <w:bCs w:val="false"/>
      <w:i w:val="false"/>
      <w:iCs w:val="false"/>
      <w:caps w:val="false"/>
      <w:color w:val="1F2937"/>
      <w:sz w:val="20"/>
      <w:szCs w:val="20"/>
    </w:rPr>
  </w:style>
  <w:style w:type="paragraph" w:styleId="ListParagraph">
    <w:name w:val="List Paragraph"/>
    <w:basedOn w:val="Normal"/>
    <w:qFormat/>
    <w:pPr>
      <w:spacing w:before="0" w:after="60" w:line="316" w:lineRule="atLeast"/>
      <w:ind w:left="0" w:right="0" w:firstLine="0"/>
      <w:jc w:val="left"/>
    </w:pPr>
    <w:rPr>
      <w:rFonts w:ascii="Inter" w:hAnsi="Inter"/>
      <w:b w:val="false"/>
      <w:bCs w:val="false"/>
      <w:i w:val="false"/>
      <w:iCs w:val="false"/>
      <w:caps w:val="false"/>
      <w:color w:val="1F2937"/>
      <w:sz w:val="20"/>
      <w:szCs w:val="20"/>
    </w:rPr>
  </w:style>
  <w:style w:type="paragraph" w:styleId="Heading1">
    <w:name w:val="Heading 1"/>
    <w:basedOn w:val="Normal"/>
    <w:next w:val="Normal"/>
    <w:qFormat/>
    <w:pPr>
      <w:keepNext/>
      <w:keepLines/>
      <w:pageBreakBefore w:val="true"/>
      <w:suppressAutoHyphens/>
      <w:spacing w:before="0" w:after="234" w:line="477" w:lineRule="atLeast"/>
      <w:ind w:left="0" w:right="0" w:firstLine="0"/>
      <w:jc w:val="left"/>
      <w:outlineLvl w:val="0"/>
    </w:pPr>
    <w:rPr>
      <w:rFonts w:ascii="Inter" w:hAnsi="Inter"/>
      <w:b w:val="true"/>
      <w:bCs w:val="true"/>
      <w:i w:val="false"/>
      <w:iCs w:val="false"/>
      <w:caps w:val="false"/>
      <w:color w:val="0B2350"/>
      <w:spacing w:val="-5"/>
      <w:sz w:val="39"/>
      <w:szCs w:val="39"/>
    </w:rPr>
  </w:style>
  <w:style w:type="paragraph" w:styleId="Heading2">
    <w:name w:val="Heading 2"/>
    <w:basedOn w:val="Normal"/>
    <w:next w:val="Normal"/>
    <w:qFormat/>
    <w:pPr>
      <w:keepNext/>
      <w:keepLines/>
      <w:pageBreakBefore w:val="false"/>
      <w:pBdr>
        <w:left w:val="single" w:color="E8620C" w:sz="24" w:space="9"/>
      </w:pBdr>
      <w:suppressAutoHyphens/>
      <w:spacing w:before="450" w:after="172" w:line="381" w:lineRule="atLeast"/>
      <w:ind w:left="232" w:right="0" w:firstLine="0"/>
      <w:jc w:val="left"/>
      <w:outlineLvl w:val="1"/>
    </w:pPr>
    <w:rPr>
      <w:rFonts w:ascii="Inter" w:hAnsi="Inter"/>
      <w:b w:val="true"/>
      <w:bCs w:val="true"/>
      <w:i w:val="false"/>
      <w:iCs w:val="false"/>
      <w:caps w:val="false"/>
      <w:color w:val="0B2350"/>
      <w:spacing w:val="-4"/>
      <w:sz w:val="31"/>
      <w:szCs w:val="31"/>
    </w:rPr>
  </w:style>
  <w:style w:type="paragraph" w:styleId="Heading3">
    <w:name w:val="Heading 3"/>
    <w:basedOn w:val="Normal"/>
    <w:next w:val="Normal"/>
    <w:qFormat/>
    <w:pPr>
      <w:keepNext/>
      <w:keepLines/>
      <w:pageBreakBefore w:val="false"/>
      <w:suppressAutoHyphens/>
      <w:spacing w:before="198" w:after="113" w:line="305" w:lineRule="atLeast"/>
      <w:ind w:left="0" w:right="0" w:firstLine="0"/>
      <w:jc w:val="left"/>
      <w:outlineLvl w:val="2"/>
    </w:pPr>
    <w:rPr>
      <w:rFonts w:ascii="Inter" w:hAnsi="Inter"/>
      <w:b w:val="true"/>
      <w:bCs w:val="true"/>
      <w:i w:val="false"/>
      <w:iCs w:val="false"/>
      <w:caps w:val="false"/>
      <w:color w:val="0B2350"/>
      <w:spacing w:val="-3"/>
      <w:sz w:val="25"/>
      <w:szCs w:val="25"/>
    </w:rPr>
  </w:style>
  <w:style w:type="paragraph" w:styleId="Heading4">
    <w:name w:val="Heading 4"/>
    <w:basedOn w:val="Normal"/>
    <w:next w:val="Normal"/>
    <w:qFormat/>
    <w:pPr>
      <w:keepNext/>
      <w:keepLines/>
      <w:pageBreakBefore w:val="false"/>
      <w:suppressAutoHyphens/>
      <w:spacing w:before="111" w:after="78" w:line="273" w:lineRule="atLeast"/>
      <w:ind w:left="0" w:right="0" w:firstLine="0"/>
      <w:jc w:val="left"/>
      <w:outlineLvl w:val="3"/>
    </w:pPr>
    <w:rPr>
      <w:rFonts w:ascii="Inter" w:hAnsi="Inter"/>
      <w:b w:val="true"/>
      <w:bCs w:val="true"/>
      <w:i w:val="false"/>
      <w:iCs w:val="false"/>
      <w:caps w:val="false"/>
      <w:color w:val="0B2350"/>
      <w:spacing w:val="-3"/>
      <w:sz w:val="22"/>
      <w:szCs w:val="22"/>
    </w:rPr>
  </w:style>
  <w:style w:type="paragraph" w:styleId="Heading5">
    <w:name w:val="Heading 5"/>
    <w:basedOn w:val="Normal"/>
    <w:next w:val="Normal"/>
    <w:qFormat/>
    <w:pPr>
      <w:keepNext/>
      <w:keepLines/>
      <w:pageBreakBefore w:val="false"/>
      <w:suppressAutoHyphens/>
      <w:spacing w:before="70" w:after="62" w:line="217" w:lineRule="atLeast"/>
      <w:ind w:left="0" w:right="0" w:firstLine="0"/>
      <w:jc w:val="left"/>
      <w:outlineLvl w:val="4"/>
    </w:pPr>
    <w:rPr>
      <w:rFonts w:ascii="Inter" w:hAnsi="Inter"/>
      <w:b w:val="true"/>
      <w:bCs w:val="true"/>
      <w:i w:val="false"/>
      <w:iCs w:val="false"/>
      <w:caps w:val="true"/>
      <w:color w:val="0B2350"/>
      <w:spacing w:val="11"/>
      <w:sz w:val="18"/>
      <w:szCs w:val="18"/>
    </w:rPr>
  </w:style>
  <w:style w:type="paragraph" w:styleId="Heading6">
    <w:name w:val="Heading 6"/>
    <w:basedOn w:val="Normal"/>
    <w:next w:val="Normal"/>
    <w:qFormat/>
    <w:pPr>
      <w:keepNext/>
      <w:keepLines/>
      <w:pageBreakBefore w:val="false"/>
      <w:suppressAutoHyphens/>
      <w:spacing w:before="70" w:after="62" w:line="217" w:lineRule="atLeast"/>
      <w:ind w:left="0" w:right="0" w:firstLine="0"/>
      <w:jc w:val="left"/>
      <w:outlineLvl w:val="5"/>
    </w:pPr>
    <w:rPr>
      <w:rFonts w:ascii="Inter" w:hAnsi="Inter"/>
      <w:b w:val="true"/>
      <w:bCs w:val="true"/>
      <w:i w:val="false"/>
      <w:iCs w:val="false"/>
      <w:caps w:val="true"/>
      <w:color w:val="0B2350"/>
      <w:spacing w:val="11"/>
      <w:sz w:val="18"/>
      <w:szCs w:val="18"/>
    </w:rPr>
  </w:style>
  <w:style w:type="paragraph" w:styleId="DocumentTitle" w:customStyle="true">
    <w:name w:val="Document Title"/>
    <w:basedOn w:val="Normal"/>
    <w:next w:val="Normal"/>
    <w:qFormat/>
    <w:pPr>
      <w:keepNext/>
      <w:keepLines/>
      <w:suppressAutoHyphens/>
      <w:spacing w:before="0" w:after="742" w:line="527" w:lineRule="atLeast"/>
      <w:ind w:left="0" w:right="0" w:firstLine="0"/>
      <w:jc w:val="left"/>
      <w:outlineLvl w:val="0"/>
    </w:pPr>
    <w:rPr>
      <w:rFonts w:ascii="Inter Tight" w:hAnsi="Inter Tight"/>
      <w:b w:val="true"/>
      <w:bCs w:val="true"/>
      <w:i w:val="false"/>
      <w:iCs w:val="false"/>
      <w:caps w:val="false"/>
      <w:color w:val="0B2350"/>
      <w:spacing w:val="-12"/>
      <w:sz w:val="49"/>
      <w:szCs w:val="49"/>
    </w:rPr>
  </w:style>
  <w:style w:type="paragraph" w:styleId="TOCHeading">
    <w:name w:val="TOC Heading"/>
    <w:basedOn w:val="Normal"/>
    <w:qFormat/>
    <w:pPr>
      <w:keepNext/>
      <w:keepLines/>
      <w:pBdr>
        <w:left w:val="single" w:color="E8620C" w:sz="24" w:space="9"/>
      </w:pBdr>
      <w:suppressAutoHyphens/>
      <w:spacing w:before="0" w:after="344" w:line="381" w:lineRule="atLeast"/>
      <w:ind w:left="232" w:right="0" w:firstLine="0"/>
      <w:jc w:val="left"/>
    </w:pPr>
    <w:rPr>
      <w:rFonts w:ascii="Inter" w:hAnsi="Inter"/>
      <w:b w:val="true"/>
      <w:bCs w:val="true"/>
      <w:i w:val="false"/>
      <w:iCs w:val="false"/>
      <w:caps w:val="false"/>
      <w:color w:val="0B2350"/>
      <w:spacing w:val="-4"/>
      <w:sz w:val="31"/>
      <w:szCs w:val="31"/>
    </w:rPr>
  </w:style>
  <w:style w:type="paragraph" w:styleId="TOC1">
    <w:name w:val="TOC 1"/>
    <w:basedOn w:val="Normal"/>
    <w:qFormat/>
    <w:pPr>
      <w:keepLines/>
      <w:pBdr>
        <w:bottom w:val="single" w:color="D3DBE6" w:sz="6" w:space="5"/>
        <w:between w:val="single" w:color="D3DBE6" w:sz="6" w:space="5"/>
      </w:pBdr>
      <w:suppressAutoHyphens/>
      <w:spacing w:before="100" w:after="0" w:line="270" w:lineRule="atLeast"/>
      <w:ind w:left="0" w:right="0" w:firstLine="0"/>
      <w:jc w:val="left"/>
    </w:pPr>
    <w:rPr>
      <w:rFonts w:ascii="Inter" w:hAnsi="Inter"/>
      <w:b w:val="true"/>
      <w:bCs w:val="true"/>
      <w:i w:val="false"/>
      <w:iCs w:val="false"/>
      <w:caps w:val="false"/>
      <w:color w:val="0B2350"/>
      <w:sz w:val="20"/>
      <w:szCs w:val="20"/>
    </w:rPr>
  </w:style>
  <w:style w:type="paragraph" w:styleId="TOC2">
    <w:name w:val="TOC 2"/>
    <w:basedOn w:val="Normal"/>
    <w:qFormat/>
    <w:pPr>
      <w:keepLines/>
      <w:pBdr>
        <w:bottom w:val="single" w:color="D3DBE6" w:sz="6" w:space="5"/>
        <w:between w:val="single" w:color="D3DBE6" w:sz="6" w:space="5"/>
      </w:pBdr>
      <w:suppressAutoHyphens/>
      <w:spacing w:before="100" w:after="0" w:line="270" w:lineRule="atLeast"/>
      <w:ind w:left="240" w:right="0" w:firstLine="0"/>
      <w:jc w:val="left"/>
    </w:pPr>
    <w:rPr>
      <w:rFonts w:ascii="Inter" w:hAnsi="Inter"/>
      <w:b w:val="false"/>
      <w:bCs w:val="false"/>
      <w:i w:val="false"/>
      <w:iCs w:val="false"/>
      <w:caps w:val="false"/>
      <w:color w:val="1F2937"/>
      <w:sz w:val="20"/>
      <w:szCs w:val="20"/>
    </w:rPr>
  </w:style>
  <w:style w:type="paragraph" w:styleId="TOC3">
    <w:name w:val="TOC 3"/>
    <w:basedOn w:val="Normal"/>
    <w:qFormat/>
    <w:pPr>
      <w:keepLines/>
      <w:pBdr>
        <w:bottom w:val="single" w:color="D3DBE6" w:sz="6" w:space="5"/>
        <w:between w:val="single" w:color="D3DBE6" w:sz="6" w:space="5"/>
      </w:pBdr>
      <w:suppressAutoHyphens/>
      <w:spacing w:before="100" w:after="0" w:line="240" w:lineRule="atLeast"/>
      <w:ind w:left="480" w:right="0" w:firstLine="0"/>
      <w:jc w:val="left"/>
    </w:pPr>
    <w:rPr>
      <w:rFonts w:ascii="Inter" w:hAnsi="Inter"/>
      <w:b w:val="false"/>
      <w:bCs w:val="false"/>
      <w:i w:val="false"/>
      <w:iCs w:val="false"/>
      <w:caps w:val="false"/>
      <w:color w:val="56606E"/>
      <w:sz w:val="18"/>
      <w:szCs w:val="18"/>
    </w:rPr>
  </w:style>
  <w:style w:type="paragraph" w:styleId="Caption">
    <w:name w:val="Caption"/>
    <w:basedOn w:val="Normal"/>
    <w:qFormat/>
    <w:pPr>
      <w:suppressAutoHyphens/>
      <w:spacing w:before="98" w:after="144" w:line="249" w:lineRule="atLeast"/>
      <w:ind w:left="0" w:right="0" w:firstLine="0"/>
      <w:jc w:val="center"/>
    </w:pPr>
    <w:rPr>
      <w:rFonts w:ascii="Inter" w:hAnsi="Inter"/>
      <w:b w:val="false"/>
      <w:bCs w:val="false"/>
      <w:i w:val="false"/>
      <w:iCs w:val="false"/>
      <w:caps w:val="false"/>
      <w:color w:val="56606E"/>
      <w:sz w:val="18"/>
      <w:szCs w:val="18"/>
    </w:rPr>
  </w:style>
  <w:style w:type="paragraph" w:styleId="Attribution" w:customStyle="true">
    <w:name w:val="Attribution"/>
    <w:basedOn w:val="Normal"/>
    <w:qFormat/>
    <w:pPr>
      <w:spacing w:before="0" w:after="144" w:line="231" w:lineRule="atLeast"/>
      <w:ind w:left="0" w:right="0" w:firstLine="0"/>
      <w:jc w:val="center"/>
    </w:pPr>
    <w:rPr>
      <w:rFonts w:ascii="Inter" w:hAnsi="Inter"/>
      <w:b w:val="false"/>
      <w:bCs w:val="false"/>
      <w:i w:val="true"/>
      <w:iCs w:val="true"/>
      <w:caps w:val="false"/>
      <w:color w:val="56606E"/>
      <w:sz w:val="18"/>
      <w:szCs w:val="18"/>
    </w:rPr>
  </w:style>
  <w:style w:type="paragraph" w:styleId="Quote">
    <w:name w:val="Quote"/>
    <w:basedOn w:val="Normal"/>
    <w:qFormat/>
    <w:pPr>
      <w:pBdr>
        <w:left w:val="single" w:color="E8620C" w:sz="24" w:space="10"/>
      </w:pBdr>
      <w:spacing w:before="230" w:after="144" w:line="316" w:lineRule="atLeast"/>
      <w:ind w:left="260" w:right="0" w:firstLine="0"/>
      <w:jc w:val="left"/>
    </w:pPr>
    <w:rPr>
      <w:rFonts w:ascii="Inter" w:hAnsi="Inter"/>
      <w:b w:val="false"/>
      <w:bCs w:val="false"/>
      <w:i w:val="true"/>
      <w:iCs w:val="true"/>
      <w:caps w:val="false"/>
      <w:color w:val="56606E"/>
      <w:sz w:val="20"/>
      <w:szCs w:val="20"/>
    </w:rPr>
  </w:style>
  <w:style w:type="paragraph" w:styleId="QuoteSource" w:customStyle="true">
    <w:name w:val="Quote Source"/>
    <w:basedOn w:val="Normal"/>
    <w:qFormat/>
    <w:pPr>
      <w:pBdr>
        <w:left w:val="single" w:color="E8620C" w:sz="24" w:space="10"/>
      </w:pBdr>
      <w:spacing w:before="230" w:after="144" w:line="316" w:lineRule="atLeast"/>
      <w:ind w:left="260" w:right="0" w:firstLine="0"/>
      <w:jc w:val="left"/>
    </w:pPr>
    <w:rPr>
      <w:rFonts w:ascii="Inter" w:hAnsi="Inter"/>
      <w:b w:val="false"/>
      <w:bCs w:val="false"/>
      <w:i w:val="false"/>
      <w:iCs w:val="false"/>
      <w:caps w:val="false"/>
      <w:color w:val="56606E"/>
      <w:sz w:val="18"/>
      <w:szCs w:val="18"/>
    </w:rPr>
  </w:style>
  <w:style w:type="paragraph" w:styleId="PullQuote" w:customStyle="true">
    <w:name w:val="Pull Quote"/>
    <w:basedOn w:val="Normal"/>
    <w:qFormat/>
    <w:pPr>
      <w:keepLines/>
      <w:pBdr>
        <w:top w:val="single" w:color="E8620C" w:sz="11" w:space="8"/>
        <w:bottom w:val="single" w:color="D3DBE6" w:sz="6" w:space="8"/>
      </w:pBdr>
      <w:spacing w:before="322" w:after="322" w:line="325" w:lineRule="atLeast"/>
      <w:ind w:left="0" w:right="0" w:firstLine="0"/>
      <w:jc w:val="left"/>
    </w:pPr>
    <w:rPr>
      <w:rFonts w:ascii="Inter Tight" w:hAnsi="Inter Tight"/>
      <w:b w:val="false"/>
      <w:bCs w:val="false"/>
      <w:i w:val="false"/>
      <w:iCs w:val="false"/>
      <w:caps w:val="false"/>
      <w:color w:val="0B2350"/>
      <w:sz w:val="25"/>
      <w:szCs w:val="25"/>
    </w:rPr>
  </w:style>
  <w:style w:type="paragraph" w:styleId="Callout" w:customStyle="true">
    <w:name w:val="Callout"/>
    <w:basedOn w:val="Normal"/>
    <w:qFormat/>
    <w:pPr>
      <w:pBdr>
        <w:top w:val="single" w:color="F3F6FA" w:sz="2" w:space="8"/>
        <w:left w:val="single" w:color="E8620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Tip" w:customStyle="true">
    <w:name w:val="Callout Tip"/>
    <w:basedOn w:val="Normal"/>
    <w:qFormat/>
    <w:pPr>
      <w:pBdr>
        <w:top w:val="single" w:color="F3F6FA" w:sz="2" w:space="8"/>
        <w:left w:val="single" w:color="146C43"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Warning" w:customStyle="true">
    <w:name w:val="Callout Warning"/>
    <w:basedOn w:val="Normal"/>
    <w:qFormat/>
    <w:pPr>
      <w:pBdr>
        <w:top w:val="single" w:color="F3F6FA" w:sz="2" w:space="8"/>
        <w:left w:val="single" w:color="8A5300"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Note" w:customStyle="true">
    <w:name w:val="Callout Note"/>
    <w:basedOn w:val="Normal"/>
    <w:qFormat/>
    <w:pPr>
      <w:pBdr>
        <w:top w:val="single" w:color="F3F6FA" w:sz="2" w:space="8"/>
        <w:left w:val="single" w:color="0B2A5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Panel" w:customStyle="true">
    <w:name w:val="Panel"/>
    <w:basedOn w:val="Normal"/>
    <w:qFormat/>
    <w:pPr>
      <w:pBdr>
        <w:top w:val="single" w:color="F3F6FA" w:sz="2" w:space="8"/>
        <w:left w:val="single" w:color="0B2A5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PanelTop" w:customStyle="true">
    <w:name w:val="Panel Top"/>
    <w:basedOn w:val="Normal"/>
    <w:qFormat/>
    <w:pPr>
      <w:pBdr>
        <w:top w:val="single" w:color="0B2A5C" w:sz="24" w:space="8"/>
        <w:left w:val="single" w:color="F3F6FA" w:sz="2" w:space="10"/>
        <w:bottom w:val="single" w:color="F3F6FA" w:sz="2" w:space="8"/>
        <w:right w:val="single" w:color="F3F6FA" w:sz="2" w:space="10"/>
      </w:pBdr>
      <w:shd w:val="clear" w:color="auto" w:fill="F3F6FA"/>
      <w:spacing w:before="230" w:after="144" w:line="316" w:lineRule="atLeast"/>
      <w:ind w:left="215" w:right="215" w:firstLine="0"/>
      <w:jc w:val="left"/>
    </w:pPr>
    <w:rPr>
      <w:rFonts w:ascii="Inter" w:hAnsi="Inter"/>
      <w:b w:val="false"/>
      <w:bCs w:val="false"/>
      <w:i w:val="false"/>
      <w:iCs w:val="false"/>
      <w:caps w:val="false"/>
      <w:color w:val="1F2937"/>
      <w:sz w:val="20"/>
      <w:szCs w:val="20"/>
    </w:rPr>
  </w:style>
  <w:style w:type="paragraph" w:styleId="Code" w:customStyle="true">
    <w:name w:val="Code"/>
    <w:basedOn w:val="Normal"/>
    <w:qFormat/>
    <w:pPr>
      <w:pBdr>
        <w:top w:val="single" w:color="D3DBE6" w:sz="6" w:space="8"/>
        <w:left w:val="single" w:color="D3DBE6" w:sz="6" w:space="9"/>
        <w:bottom w:val="single" w:color="D3DBE6" w:sz="6" w:space="8"/>
        <w:right w:val="single" w:color="D3DBE6" w:sz="6" w:space="9"/>
      </w:pBdr>
      <w:shd w:val="clear" w:color="auto" w:fill="F3F6FA"/>
      <w:suppressAutoHyphens/>
      <w:spacing w:before="205" w:after="205" w:line="267" w:lineRule="atLeast"/>
      <w:ind w:left="193" w:right="193" w:firstLine="0"/>
      <w:contextualSpacing/>
      <w:jc w:val="left"/>
    </w:pPr>
    <w:rPr>
      <w:rFonts w:ascii="JetBrains Mono" w:hAnsi="JetBrains Mono"/>
      <w:b w:val="false"/>
      <w:bCs w:val="false"/>
      <w:i w:val="false"/>
      <w:iCs w:val="false"/>
      <w:caps w:val="false"/>
      <w:color w:val="1F2937"/>
      <w:sz w:val="18"/>
      <w:szCs w:val="18"/>
    </w:rPr>
  </w:style>
  <w:style w:type="paragraph" w:styleId="TableText" w:customStyle="true">
    <w:name w:val="Table Text"/>
    <w:basedOn w:val="Normal"/>
    <w:qFormat/>
    <w:pPr>
      <w:spacing w:before="0" w:after="0" w:line="253" w:lineRule="atLeast"/>
      <w:ind w:left="0" w:right="0" w:firstLine="0"/>
      <w:jc w:val="left"/>
    </w:pPr>
    <w:rPr>
      <w:rFonts w:ascii="Inter" w:hAnsi="Inter"/>
      <w:b w:val="false"/>
      <w:bCs w:val="false"/>
      <w:i w:val="false"/>
      <w:iCs w:val="false"/>
      <w:caps w:val="false"/>
      <w:color w:val="1F2937"/>
      <w:sz w:val="18"/>
      <w:szCs w:val="18"/>
    </w:rPr>
  </w:style>
  <w:style w:type="paragraph" w:styleId="TableHeading" w:customStyle="true">
    <w:name w:val="Table Heading"/>
    <w:basedOn w:val="Normal"/>
    <w:qFormat/>
    <w:pPr>
      <w:suppressAutoHyphens/>
      <w:spacing w:before="0" w:after="0" w:line="253" w:lineRule="atLeast"/>
      <w:ind w:left="0" w:right="0" w:firstLine="0"/>
      <w:jc w:val="left"/>
    </w:pPr>
    <w:rPr>
      <w:rFonts w:ascii="Inter" w:hAnsi="Inter"/>
      <w:b w:val="true"/>
      <w:bCs w:val="true"/>
      <w:i w:val="false"/>
      <w:iCs w:val="false"/>
      <w:caps w:val="false"/>
      <w:color w:val="FFFFFF"/>
      <w:sz w:val="18"/>
      <w:szCs w:val="18"/>
    </w:rPr>
  </w:style>
  <w:style w:type="paragraph" w:styleId="TableRowHeading" w:customStyle="true">
    <w:name w:val="Table Row Heading"/>
    <w:basedOn w:val="Normal"/>
    <w:qFormat/>
    <w:pPr>
      <w:suppressAutoHyphens/>
      <w:spacing w:before="0" w:after="0" w:line="253" w:lineRule="atLeast"/>
      <w:ind w:left="0" w:right="0" w:firstLine="0"/>
      <w:jc w:val="left"/>
    </w:pPr>
    <w:rPr>
      <w:rFonts w:ascii="Inter" w:hAnsi="Inter"/>
      <w:b w:val="true"/>
      <w:bCs w:val="true"/>
      <w:i w:val="false"/>
      <w:iCs w:val="false"/>
      <w:caps w:val="false"/>
      <w:color w:val="757575"/>
      <w:sz w:val="18"/>
      <w:szCs w:val="18"/>
    </w:rPr>
  </w:style>
  <w:style w:type="paragraph" w:styleId="Divider" w:customStyle="true">
    <w:name w:val="Divider"/>
    <w:basedOn w:val="Normal"/>
    <w:qFormat/>
    <w:pPr>
      <w:pBdr>
        <w:bottom w:val="single" w:color="D3DBE6" w:sz="6" w:space="0"/>
      </w:pBdr>
      <w:spacing w:before="236" w:after="380" w:line="20" w:lineRule="exact"/>
      <w:ind w:left="0" w:right="0" w:firstLine="0"/>
      <w:jc w:val="left"/>
    </w:pPr>
    <w:rPr>
      <w:rFonts w:ascii="Inter" w:hAnsi="Inter"/>
      <w:b w:val="false"/>
      <w:bCs w:val="false"/>
      <w:i w:val="false"/>
      <w:iCs w:val="false"/>
      <w:caps w:val="false"/>
      <w:color w:val="1F2937"/>
      <w:sz w:val="2"/>
      <w:szCs w:val="2"/>
    </w:rPr>
  </w:style>
  <w:style w:type="paragraph" w:styleId="SceneBreak" w:customStyle="true">
    <w:name w:val="Scene Break"/>
    <w:basedOn w:val="Normal"/>
    <w:qFormat/>
    <w:pPr>
      <w:keepNext/>
      <w:spacing w:before="280" w:after="280" w:line="240" w:lineRule="auto"/>
      <w:ind w:left="0" w:right="0" w:firstLine="0"/>
      <w:jc w:val="center"/>
    </w:pPr>
    <w:rPr>
      <w:rFonts w:ascii="Inter" w:hAnsi="Inter"/>
      <w:b w:val="false"/>
      <w:bCs w:val="false"/>
      <w:i w:val="false"/>
      <w:iCs w:val="false"/>
      <w:caps w:val="false"/>
      <w:color w:val="E8620C"/>
      <w:sz w:val="23"/>
      <w:szCs w:val="23"/>
    </w:rPr>
  </w:style>
  <w:style w:type="paragraph" w:styleId="HeadingBar" w:customStyle="true">
    <w:name w:val="Heading Bar"/>
    <w:basedOn w:val="Normal"/>
    <w:qFormat/>
    <w:pPr>
      <w:keepNext/>
      <w:spacing w:before="0" w:after="0" w:line="20" w:lineRule="exact"/>
      <w:ind w:left="0" w:right="0" w:firstLine="0"/>
      <w:jc w:val="left"/>
    </w:pPr>
    <w:rPr>
      <w:rFonts w:ascii="Inter" w:hAnsi="Inter"/>
      <w:b w:val="false"/>
      <w:bCs w:val="false"/>
      <w:i w:val="false"/>
      <w:iCs w:val="false"/>
      <w:caps w:val="false"/>
      <w:color w:val="E8620C"/>
      <w:sz w:val="2"/>
      <w:szCs w:val="2"/>
    </w:rPr>
  </w:style>
  <w:style w:type="paragraph" w:styleId="ChapterNumber" w:customStyle="true">
    <w:name w:val="Chapter Number"/>
    <w:basedOn w:val="Normal"/>
    <w:qFormat/>
    <w:pPr>
      <w:keepNext/>
      <w:suppressAutoHyphens/>
      <w:spacing w:before="1296" w:after="96" w:line="288" w:lineRule="auto"/>
      <w:ind w:left="0" w:right="0" w:firstLine="0"/>
      <w:jc w:val="center"/>
    </w:pPr>
    <w:rPr>
      <w:rFonts w:ascii="Inter" w:hAnsi="Inter"/>
      <w:b w:val="true"/>
      <w:bCs w:val="true"/>
      <w:i w:val="false"/>
      <w:iCs w:val="false"/>
      <w:caps w:val="true"/>
      <w:color w:val="B0460A"/>
      <w:spacing w:val="29"/>
      <w:sz w:val="16"/>
      <w:szCs w:val="16"/>
    </w:rPr>
  </w:style>
  <w:style w:type="paragraph" w:styleId="ChapterTitle" w:customStyle="true">
    <w:name w:val="Chapter Title"/>
    <w:basedOn w:val="Normal"/>
    <w:next w:val="Normal"/>
    <w:qFormat/>
    <w:pPr>
      <w:keepNext/>
      <w:keepLines/>
      <w:suppressAutoHyphens/>
      <w:spacing w:before="0" w:after="320" w:line="602" w:lineRule="atLeast"/>
      <w:ind w:left="0" w:right="0" w:firstLine="0"/>
      <w:jc w:val="center"/>
      <w:outlineLvl w:val="0"/>
    </w:pPr>
    <w:rPr>
      <w:rFonts w:ascii="Inter Tight" w:hAnsi="Inter Tight"/>
      <w:b w:val="true"/>
      <w:bCs w:val="true"/>
      <w:i w:val="false"/>
      <w:iCs w:val="false"/>
      <w:caps w:val="false"/>
      <w:color w:val="0B2350"/>
      <w:spacing w:val="-13"/>
      <w:sz w:val="52"/>
      <w:szCs w:val="52"/>
    </w:rPr>
  </w:style>
  <w:style w:type="paragraph" w:styleId="Title">
    <w:name w:val="Title"/>
    <w:basedOn w:val="Normal"/>
    <w:qFormat/>
    <w:pPr>
      <w:keepNext/>
      <w:suppressAutoHyphens/>
      <w:spacing w:before="0" w:after="0" w:line="758" w:lineRule="atLeast"/>
      <w:ind w:left="0" w:right="0" w:firstLine="0"/>
      <w:jc w:val="left"/>
    </w:pPr>
    <w:rPr>
      <w:rFonts w:ascii="Inter Tight" w:hAnsi="Inter Tight"/>
      <w:b w:val="true"/>
      <w:bCs w:val="true"/>
      <w:i w:val="false"/>
      <w:iCs w:val="false"/>
      <w:caps w:val="false"/>
      <w:color w:val="FFFFFF"/>
      <w:spacing w:val="-18"/>
      <w:sz w:val="70"/>
      <w:szCs w:val="70"/>
    </w:rPr>
  </w:style>
  <w:style w:type="paragraph" w:styleId="Subtitle">
    <w:name w:val="Subtitle"/>
    <w:basedOn w:val="Normal"/>
    <w:qFormat/>
    <w:pPr>
      <w:keepNext/>
      <w:suppressAutoHyphens/>
      <w:spacing w:before="140" w:after="0" w:line="383" w:lineRule="atLeast"/>
      <w:ind w:left="0" w:right="0" w:firstLine="0"/>
      <w:jc w:val="left"/>
    </w:pPr>
    <w:rPr>
      <w:rFonts w:ascii="Inter" w:hAnsi="Inter"/>
      <w:b w:val="false"/>
      <w:bCs w:val="false"/>
      <w:i w:val="false"/>
      <w:iCs w:val="false"/>
      <w:caps w:val="false"/>
      <w:color w:val="FFFFFF"/>
      <w:sz w:val="29"/>
      <w:szCs w:val="29"/>
    </w:rPr>
  </w:style>
  <w:style w:type="paragraph" w:styleId="CoverDescription" w:customStyle="true">
    <w:name w:val="Cover Description"/>
    <w:basedOn w:val="Normal"/>
    <w:qFormat/>
    <w:pPr>
      <w:spacing w:before="280" w:after="0" w:line="300" w:lineRule="atLeast"/>
      <w:ind w:left="0" w:right="0" w:firstLine="0"/>
      <w:jc w:val="left"/>
    </w:pPr>
    <w:rPr>
      <w:rFonts w:ascii="Inter" w:hAnsi="Inter"/>
      <w:b w:val="false"/>
      <w:bCs w:val="false"/>
      <w:i w:val="false"/>
      <w:iCs w:val="false"/>
      <w:caps w:val="false"/>
      <w:color w:val="56606E"/>
      <w:sz w:val="20"/>
      <w:szCs w:val="20"/>
    </w:rPr>
  </w:style>
  <w:style w:type="paragraph" w:styleId="CoverMeta" w:customStyle="true">
    <w:name w:val="Cover Meta"/>
    <w:basedOn w:val="Normal"/>
    <w:qFormat/>
    <w:pPr>
      <w:pBdr>
        <w:top w:val="single" w:color="D3DBE6" w:sz="6" w:space="8"/>
      </w:pBdr>
      <w:spacing w:before="140" w:after="0" w:line="249" w:lineRule="atLeast"/>
      <w:ind w:left="0" w:right="0" w:firstLine="0"/>
      <w:jc w:val="left"/>
    </w:pPr>
    <w:rPr>
      <w:rFonts w:ascii="Inter" w:hAnsi="Inter"/>
      <w:b w:val="false"/>
      <w:bCs w:val="false"/>
      <w:i w:val="false"/>
      <w:iCs w:val="false"/>
      <w:caps w:val="false"/>
      <w:color w:val="56606E"/>
      <w:sz w:val="18"/>
      <w:szCs w:val="18"/>
    </w:rPr>
  </w:style>
  <w:style w:type="paragraph" w:styleId="CoverRule" w:customStyle="true">
    <w:name w:val="Cover Rule"/>
    <w:basedOn w:val="Normal"/>
    <w:qFormat/>
    <w:pPr>
      <w:keepNext/>
      <w:spacing w:before="0" w:after="0" w:line="20" w:lineRule="exact"/>
      <w:ind w:left="0" w:right="0" w:firstLine="0"/>
      <w:jc w:val="left"/>
    </w:pPr>
    <w:rPr>
      <w:rFonts w:ascii="Inter" w:hAnsi="Inter"/>
      <w:b w:val="false"/>
      <w:bCs w:val="false"/>
      <w:i w:val="false"/>
      <w:iCs w:val="false"/>
      <w:caps w:val="false"/>
      <w:color w:val="E8620C"/>
      <w:sz w:val="2"/>
      <w:szCs w:val="2"/>
    </w:rPr>
  </w:style>
  <w:style w:type="paragraph" w:styleId="Header">
    <w:name w:val="Header"/>
    <w:basedOn w:val="Normal"/>
    <w:qFormat/>
    <w:pPr>
      <w:suppressAutoHyphens/>
      <w:spacing w:before="0" w:after="0" w:line="288" w:lineRule="auto"/>
      <w:ind w:left="0" w:right="0" w:firstLine="0"/>
      <w:jc w:val="left"/>
    </w:pPr>
    <w:rPr>
      <w:rFonts w:ascii="Inter" w:hAnsi="Inter"/>
      <w:b w:val="false"/>
      <w:bCs w:val="false"/>
      <w:i w:val="false"/>
      <w:iCs w:val="false"/>
      <w:caps w:val="false"/>
      <w:color w:val="56606E"/>
      <w:sz w:val="18"/>
      <w:szCs w:val="18"/>
    </w:rPr>
  </w:style>
  <w:style w:type="paragraph" w:styleId="Footer">
    <w:name w:val="Footer"/>
    <w:basedOn w:val="Normal"/>
    <w:qFormat/>
    <w:pPr>
      <w:suppressAutoHyphens/>
      <w:spacing w:before="0" w:after="0" w:line="288" w:lineRule="auto"/>
      <w:ind w:left="0" w:right="0" w:firstLine="0"/>
      <w:jc w:val="left"/>
    </w:pPr>
    <w:rPr>
      <w:rFonts w:ascii="Inter" w:hAnsi="Inter"/>
      <w:b w:val="false"/>
      <w:bCs w:val="false"/>
      <w:i w:val="false"/>
      <w:iCs w:val="false"/>
      <w:caps w:val="false"/>
      <w:color w:val="56606E"/>
      <w:sz w:val="18"/>
      <w:szCs w:val="18"/>
    </w:rPr>
  </w:style>
  <w:style w:type="character" w:styleId="InlineCode" w:customStyle="true">
    <w:name w:val="Inline Code"/>
    <w:basedOn w:val="DefaultParagraphFont"/>
    <w:uiPriority w:val="99"/>
    <w:unhideWhenUsed/>
    <w:rPr>
      <w:rFonts w:ascii="JetBrains Mono" w:hAnsi="JetBrains Mono"/>
      <w:color w:val="1F2937"/>
      <w:sz w:val="17"/>
      <w:szCs w:val="17"/>
      <w:shd w:val="clear" w:color="auto" w:fill="F3F6FA"/>
    </w:rPr>
  </w:style>
  <w:style w:type="character" w:styleId="Hyperlink">
    <w:name w:val="Hyperlink"/>
    <w:basedOn w:val="DefaultParagraphFont"/>
    <w:uiPriority w:val="99"/>
    <w:unhideWhenUsed/>
    <w:rPr>
      <w:color w:val="1A56B8"/>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b6131df1695d4341" /><Relationship Type="http://schemas.openxmlformats.org/officeDocument/2006/relationships/footer" Target="/word/footer1.xml" Id="Rb5ced65b533142f8" /><Relationship Type="http://schemas.openxmlformats.org/officeDocument/2006/relationships/numbering" Target="/word/numbering.xml" Id="R5785e87149df4a16" /><Relationship Type="http://schemas.openxmlformats.org/officeDocument/2006/relationships/fontTable" Target="/word/fontTable.xml" Id="R8aa46b4cfc6947b2" /><Relationship Type="http://schemas.openxmlformats.org/officeDocument/2006/relationships/settings" Target="/word/settings.xml" Id="R8e0c7fbcd5794e5d" /></Relationships>
</file>