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7f87089eddd94f9e" /></Relationships>
</file>

<file path=word/document.xml><?xml version="1.0" encoding="utf-8"?>
<w:document xmlns:w="http://schemas.openxmlformats.org/wordprocessingml/2006/main">
  <w:body>
    <w:tbl>
      <w:tblPr>
        <w:tblW w:w="11906" w:type="dxa"/>
        <w:tblInd w:w="0" w:type="dxa"/>
        <w:tblLayout w:type="fixed"/>
        <w:tblCellMar>
          <w:top w:w="0" w:type="dxa"/>
          <w:left w:w="0" w:type="dxa"/>
          <w:bottom w:w="0" w:type="dxa"/>
          <w:right w:w="0" w:type="dxa"/>
        </w:tblCellMar>
      </w:tblPr>
      <w:tblGrid>
        <w:gridCol w:w="11906"/>
      </w:tblGrid>
      <w:tr>
        <w:trPr>
          <w:cantSplit/>
          <w:trHeight w:val="14338" w:hRule="atLeast"/>
        </w:trPr>
        <w:tc>
          <w:tcPr>
            <w:tcW w:w="11906" w:type="dxa"/>
            <w:tcMar>
              <w:top w:w="1440" w:type="dxa"/>
              <w:left w:w="1440" w:type="dxa"/>
              <w:bottom w:w="0" w:type="dxa"/>
              <w:right w:w="1440" w:type="dxa"/>
            </w:tcMar>
            <w:vAlign w:val="top"/>
          </w:tcPr>
          <w:p>
            <w:pPr>
              <w:pStyle w:val="Title"/>
              <w:pBdr>
                <w:top w:val="single" w:color="1A5276" w:sz="22" w:space="10"/>
              </w:pBdr>
              <w:jc w:val="left"/>
            </w:pPr>
            <w:r>
              <w:rPr>
                <w:lang w:val="en-US"/>
              </w:rPr>
              <w:t xml:space="preserve">RFP response: resident feedback and service analytics, Marlow Borough Council RFP 2026-14</w:t>
            </w:r>
          </w:p>
        </w:tc>
      </w:tr>
      <w:tr>
        <w:trPr>
          <w:cantSplit/>
          <w:trHeight w:val="2340" w:hRule="atLeast"/>
        </w:trPr>
        <w:tc>
          <w:tcPr>
            <w:tcW w:w="11906" w:type="dxa"/>
            <w:tcMar>
              <w:top w:w="0" w:type="dxa"/>
              <w:left w:w="1440" w:type="dxa"/>
              <w:bottom w:w="1440" w:type="dxa"/>
              <w:right w:w="1440" w:type="dxa"/>
            </w:tcMar>
            <w:vAlign w:val="bottom"/>
          </w:tcPr>
          <w:p>
            <w:pPr>
              <w:pStyle w:val="CoverMeta"/>
              <w:spacing w:before="0"/>
              <w:jc w:val="left"/>
            </w:pPr>
            <w:r>
              <w:rPr>
                <w:lang w:val="en-US"/>
              </w:rPr>
              <w:t xml:space="preserve">October 03, 2026</w:t>
            </w:r>
          </w:p>
        </w:tc>
      </w:tr>
    </w:tbl>
    <w:p>
      <w:pPr>
        <w:spacing w:before="0" w:after="0" w:line="20" w:lineRule="exact"/>
        <w:rPr>
          <w:sz w:val="2"/>
          <w:szCs w:val="2"/>
        </w:rPr>
        <w:sectPr>
          <w:type w:val="nextPage"/>
          <w:pgSz w:w="11906" w:h="16838" w:orient="portrait"/>
          <w:pgMar w:top="0" w:right="0" w:bottom="0" w:left="0" w:header="0" w:footer="0" w:gutter="0"/>
          <w:pgNumType w:fmt="decimal" w:start="1"/>
        </w:sectPr>
      </w:pPr>
    </w:p>
    <w:p>
      <w:pPr>
        <w:pStyle w:val="TOCHeading"/>
      </w:pPr>
      <w:r>
        <w:rPr>
          <w:lang w:val="en-US"/>
        </w:rPr>
        <w:t xml:space="preserve">Table of Contents</w:t>
      </w:r>
    </w:p>
    <w:p>
      <w:pPr>
        <w:pStyle w:val="TOC1"/>
      </w:pPr>
      <w:r>
        <w:rPr>
          <w:lang w:val="en-US"/>
        </w:rPr>
        <w:t xml:space="preserve">Cover Letter</w:t>
      </w:r>
    </w:p>
    <w:p>
      <w:pPr>
        <w:pStyle w:val="TOC1"/>
      </w:pPr>
      <w:r>
        <w:rPr>
          <w:lang w:val="en-US"/>
        </w:rPr>
        <w:t xml:space="preserve">Executive Summary</w:t>
      </w:r>
    </w:p>
    <w:p>
      <w:pPr>
        <w:pStyle w:val="TOC1"/>
      </w:pPr>
      <w:r>
        <w:rPr>
          <w:lang w:val="en-US"/>
        </w:rPr>
        <w:t xml:space="preserve">Company Overview &amp; Qualifications</w:t>
      </w:r>
    </w:p>
    <w:p>
      <w:pPr>
        <w:pStyle w:val="TOC1"/>
      </w:pPr>
      <w:r>
        <w:rPr>
          <w:lang w:val="en-US"/>
        </w:rPr>
        <w:t xml:space="preserve">Technical Approach</w:t>
      </w:r>
    </w:p>
    <w:p>
      <w:pPr>
        <w:pStyle w:val="TOC1"/>
      </w:pPr>
      <w:r>
        <w:rPr>
          <w:lang w:val="en-US"/>
        </w:rPr>
        <w:t xml:space="preserve">Management Approach</w:t>
      </w:r>
    </w:p>
    <w:p>
      <w:pPr>
        <w:pStyle w:val="TOC1"/>
      </w:pPr>
      <w:r>
        <w:rPr>
          <w:lang w:val="en-US"/>
        </w:rPr>
        <w:t xml:space="preserve">Past Performance / References</w:t>
      </w:r>
    </w:p>
    <w:p>
      <w:pPr>
        <w:pStyle w:val="TOC1"/>
      </w:pPr>
      <w:r>
        <w:rPr>
          <w:lang w:val="en-US"/>
        </w:rPr>
        <w:t xml:space="preserve">Pricing Volume</w:t>
      </w:r>
    </w:p>
    <w:p>
      <w:pPr>
        <w:pStyle w:val="TOC1"/>
      </w:pPr>
      <w:r>
        <w:rPr>
          <w:lang w:val="en-US"/>
        </w:rPr>
        <w:t xml:space="preserve">Required Forms &amp; Certifications</w:t>
      </w:r>
    </w:p>
    <w:p>
      <w:pPr>
        <w:pStyle w:val="TOC1"/>
      </w:pPr>
      <w:r>
        <w:rPr>
          <w:lang w:val="en-US"/>
        </w:rPr>
        <w:t xml:space="preserve">Appendices</w:t>
      </w:r>
    </w:p>
    <w:p>
      <w:pPr>
        <w:pStyle w:val="TOC1"/>
      </w:pPr>
      <w:r>
        <w:rPr>
          <w:lang w:val="en-US"/>
        </w:rPr>
        <w:t xml:space="preserve">References</w:t>
      </w:r>
    </w:p>
    <w:p>
      <w:r>
        <w:br w:type="page"/>
      </w:r>
    </w:p>
    <w:p>
      <w:pPr>
        <w:pStyle w:val="DocumentTitle"/>
        <w:outlineLvl w:val="0"/>
      </w:pPr>
      <w:r>
        <w:rPr>
          <w:lang w:val="en-US"/>
        </w:rPr>
        <w:t xml:space="preserve">Response to RFP 2026-14: Resident Feedback and Service Analytics Service</w:t>
      </w:r>
    </w:p>
    <w:p>
      <w:pPr>
        <w:pStyle w:val="Heading2"/>
        <w:outlineLvl w:val="1"/>
      </w:pPr>
      <w:r>
        <w:rPr>
          <w:lang w:val="en-US"/>
        </w:rPr>
        <w:t xml:space="preserve">Cover Letter</w:t>
      </w:r>
    </w:p>
    <w:p>
      <w:pPr>
        <w:pStyle w:val="Normal"/>
      </w:pPr>
      <w:r>
        <w:rPr>
          <w:b/>
          <w:lang w:val="en-US"/>
        </w:rPr>
        <w:t xml:space="preserve">Notice:</w:t>
      </w:r>
      <w:r>
        <w:rPr>
          <w:lang w:val="en-US"/>
        </w:rPr>
        <w:t xml:space="preserve"> Marlow Borough Council and Larkfield Analytics Ltd are fictional entities. This response is a worked example.</w:t>
      </w:r>
    </w:p>
    <w:p>
      <w:pPr>
        <w:pStyle w:val="Normal"/>
      </w:pPr>
      <w:r>
        <w:rPr>
          <w:lang w:val="en-US"/>
        </w:rPr>
        <w:t xml:space="preserve">To: Marlow Borough Council</w:t>
      </w:r>
    </w:p>
    <w:p>
      <w:pPr>
        <w:pStyle w:val="Normal"/>
      </w:pPr>
      <w:r>
        <w:rPr>
          <w:lang w:val="en-US"/>
        </w:rPr>
        <w:t xml:space="preserve">Larkfield Analytics Ltd is pleased to submit this response to RFP 2026-14, </w:t>
      </w:r>
      <w:r>
        <w:rPr>
          <w:i/>
          <w:lang w:val="en-US"/>
        </w:rPr>
        <w:t xml:space="preserve">Resident Feedback and Service Analytics Service</w:t>
      </w:r>
      <w:r>
        <w:rPr>
          <w:lang w:val="en-US"/>
        </w:rPr>
        <w:t xml:space="preserve">. We understand that the Council requires a managed service to bring resident feedback from four channels into one reporting store; design and deliver an annual resident survey programme; provide secure, accessible dashboards for service managers; report quarterly to Cabinet; and train Council users.</w:t>
      </w:r>
    </w:p>
    <w:p>
      <w:pPr>
        <w:pStyle w:val="Normal"/>
      </w:pPr>
      <w:r>
        <w:rPr>
          <w:lang w:val="en-US"/>
        </w:rPr>
        <w:t xml:space="preserve">We propose a 24-month service, with the Council's option to extend for 12 months. Our priced 24-month proposal is £298,720 excluding VAT, within the Council's £330,000 excluding-VAT budget ceiling. We will deliver the service through an integrated survey, data engineering, dashboard and governance approach led by Imogen Farrow, Engagement Director.</w:t>
      </w:r>
    </w:p>
    <w:p>
      <w:pPr>
        <w:pStyle w:val="Normal"/>
      </w:pPr>
      <w:r>
        <w:rPr>
          <w:lang w:val="en-US"/>
        </w:rPr>
        <w:t xml:space="preserve">This proposal is valid for 60 days from its date of issue. We accept the Council's standard terms and conditions with no clarifications.</w:t>
      </w:r>
    </w:p>
    <w:p>
      <w:pPr>
        <w:pStyle w:val="Normal"/>
      </w:pPr>
      <w:r>
        <w:rPr>
          <w:lang w:val="en-US"/>
        </w:rPr>
        <w:t xml:space="preserve">Yours faithfully,</w:t>
      </w:r>
      <w:r>
        <w:br/>
      </w:r>
      <w:r>
        <w:rPr>
          <w:lang w:val="en-US"/>
        </w:rPr>
        <w:t xml:space="preserve">Imogen Farrow</w:t>
      </w:r>
      <w:r>
        <w:br/>
      </w:r>
      <w:r>
        <w:rPr>
          <w:lang w:val="en-US"/>
        </w:rPr>
        <w:t xml:space="preserve">Engagement Director, Larkfield Analytics Ltd</w:t>
      </w:r>
    </w:p>
    <w:p>
      <w:pPr>
        <w:pStyle w:val="Heading2"/>
        <w:outlineLvl w:val="1"/>
      </w:pPr>
      <w:r>
        <w:rPr>
          <w:lang w:val="en-US"/>
        </w:rPr>
        <w:t xml:space="preserve">Executive Summary</w:t>
      </w:r>
    </w:p>
    <w:p>
      <w:pPr>
        <w:pStyle w:val="Normal"/>
      </w:pPr>
      <w:r>
        <w:rPr>
          <w:lang w:val="en-US"/>
        </w:rPr>
        <w:t xml:space="preserve">Larkfield Analytics Ltd proposes a managed resident feedback and service analytics service that will create a single, daily refreshed reporting store for the Council's web form, contact-centre log, paper comment cards and annual residents' survey.</w:t>
      </w:r>
    </w:p>
    <w:p>
      <w:pPr>
        <w:pStyle w:val="ListParagraph"/>
        <w:numPr>
          <w:ilvl w:val="0"/>
          <w:numId w:val="1"/>
        </w:numPr>
        <w:ind w:left="360" w:hanging="240"/>
      </w:pPr>
      <w:r>
        <w:rPr>
          <w:b/>
          <w:lang w:val="en-US"/>
        </w:rPr>
        <w:t xml:space="preserve">Integrated resident insight:</w:t>
      </w:r>
      <w:r>
        <w:rPr>
          <w:lang w:val="en-US"/>
        </w:rPr>
        <w:t xml:space="preserve"> We will design one survey round in each contract year for 8,000 postal and online invitations, using a written sampling and weighting method agreed during discovery so that response rates can be reported by ward.</w:t>
      </w:r>
    </w:p>
    <w:p>
      <w:pPr>
        <w:pStyle w:val="ListParagraph"/>
        <w:numPr>
          <w:ilvl w:val="0"/>
          <w:numId w:val="1"/>
        </w:numPr>
        <w:ind w:left="360" w:hanging="240"/>
      </w:pPr>
      <w:r>
        <w:rPr>
          <w:b/>
          <w:lang w:val="en-US"/>
        </w:rPr>
        <w:t xml:space="preserve">Actionable reporting:</w:t>
      </w:r>
      <w:r>
        <w:rPr>
          <w:lang w:val="en-US"/>
        </w:rPr>
        <w:t xml:space="preserve"> Browser-based dashboards will support at least 20 named service managers through role-based access. Dashboards will refresh daily and will be designed and tested to WCAG 2.2 level AA.</w:t>
      </w:r>
    </w:p>
    <w:p>
      <w:pPr>
        <w:pStyle w:val="ListParagraph"/>
        <w:numPr>
          <w:ilvl w:val="0"/>
          <w:numId w:val="1"/>
        </w:numPr>
        <w:ind w:left="360" w:hanging="240"/>
      </w:pPr>
      <w:r>
        <w:rPr>
          <w:b/>
          <w:lang w:val="en-US"/>
        </w:rPr>
        <w:t xml:space="preserve">Executive assurance:</w:t>
      </w:r>
      <w:r>
        <w:rPr>
          <w:lang w:val="en-US"/>
        </w:rPr>
        <w:t xml:space="preserve"> Sunniva Hale, Senior Survey Analyst, will prepare the quarterly written Cabinet report. Imogen Farrow will sign off every report and can present to Cabinet on request.</w:t>
      </w:r>
    </w:p>
    <w:p>
      <w:pPr>
        <w:pStyle w:val="ListParagraph"/>
        <w:numPr>
          <w:ilvl w:val="0"/>
          <w:numId w:val="1"/>
        </w:numPr>
        <w:ind w:left="360" w:hanging="240"/>
      </w:pPr>
      <w:r>
        <w:rPr>
          <w:b/>
          <w:lang w:val="en-US"/>
        </w:rPr>
        <w:t xml:space="preserve">Secure delivery:</w:t>
      </w:r>
      <w:r>
        <w:rPr>
          <w:lang w:val="en-US"/>
        </w:rPr>
        <w:t xml:space="preserve"> We will host Council data in a UK data centre, encrypted at rest and in transit. A Council-approved data protection impact assessment will be completed before personal data is processed.</w:t>
      </w:r>
    </w:p>
    <w:p>
      <w:pPr>
        <w:pStyle w:val="ListParagraph"/>
        <w:numPr>
          <w:ilvl w:val="0"/>
          <w:numId w:val="1"/>
        </w:numPr>
        <w:ind w:left="360" w:hanging="240"/>
      </w:pPr>
      <w:r>
        <w:rPr>
          <w:b/>
          <w:lang w:val="en-US"/>
        </w:rPr>
        <w:t xml:space="preserve">Relevant delivery record:</w:t>
      </w:r>
      <w:r>
        <w:rPr>
          <w:lang w:val="en-US"/>
        </w:rPr>
        <w:t xml:space="preserve"> Our two qualifying local authority references are Wexcombe District Council and Ardmoor Borough Council, both completed within the last three years.</w:t>
      </w:r>
    </w:p>
    <w:p>
      <w:pPr>
        <w:pStyle w:val="ListParagraph"/>
        <w:numPr>
          <w:ilvl w:val="0"/>
          <w:numId w:val="1"/>
        </w:numPr>
        <w:ind w:left="360" w:hanging="240"/>
      </w:pPr>
      <w:r>
        <w:rPr>
          <w:b/>
          <w:lang w:val="en-US"/>
        </w:rPr>
        <w:t xml:space="preserve">Fixed and transparent price:</w:t>
      </w:r>
      <w:r>
        <w:rPr>
          <w:lang w:val="en-US"/>
        </w:rPr>
        <w:t xml:space="preserve"> Our £298,720 excluding-VAT price includes all stated service lines for the 24-month term. Hosting and dashboard licences are fixed at £1,400 per month for up to 40 named users.</w:t>
      </w:r>
    </w:p>
    <w:p>
      <w:pPr>
        <w:pStyle w:val="Normal"/>
      </w:pPr>
      <w:r>
        <w:rPr>
          <w:lang w:val="en-US"/>
        </w:rPr>
        <w:t xml:space="preserve">We confirm compliance with all mandatory requirements R1-R10 and offer all desirable requirements D1-D3.</w:t>
      </w:r>
    </w:p>
    <w:p>
      <w:pPr>
        <w:pStyle w:val="Heading2"/>
        <w:outlineLvl w:val="1"/>
      </w:pPr>
      <w:r>
        <w:rPr>
          <w:lang w:val="en-US"/>
        </w:rPr>
        <w:t xml:space="preserve">Company Overview &amp; Qualifications</w:t>
      </w:r>
    </w:p>
    <w:p>
      <w:pPr>
        <w:pStyle w:val="Normal"/>
      </w:pPr>
      <w:r>
        <w:rPr>
          <w:lang w:val="en-US"/>
        </w:rPr>
        <w:t xml:space="preserve">Larkfield Analytics Ltd is a data and survey analytics consultancy founded in 2014. We have 31 staff across Survey Design, Data Engineering and Decision Dashboards practices and work principally with local authorities, housing associations and regional retailers. Our registered company number is LA-0044817.</w:t>
      </w:r>
    </w:p>
    <w:p>
      <w:pPr>
        <w:pStyle w:val="Normal"/>
      </w:pPr>
      <w:r>
        <w:rPr>
          <w:lang w:val="en-US"/>
        </w:rPr>
        <w:t xml:space="preserve">Our services combine resident and tenant survey design, sample design and weighting; integration of client data sources into reporting stores with automated daily refresh; and browser-based dashboards with role-based access and analyst-written reporting.</w:t>
      </w:r>
    </w:p>
    <w:p>
      <w:pPr>
        <w:pStyle w:val="Normal"/>
      </w:pPr>
      <w:r>
        <w:rPr>
          <w:lang w:val="en-US"/>
        </w:rPr>
        <w:t xml:space="preserve">We are a registered data controller and processor. We hold public liability insurance of £5 million and professional indemnity insurance of £2 million, both renewed each January. We also hold the Clearfield Data Practice assurance mark, renewed in March 2026.</w:t>
      </w:r>
    </w:p>
    <w:p>
      <w:pPr>
        <w:pStyle w:val="Normal"/>
      </w:pPr>
      <w:r>
        <w:rPr>
          <w:lang w:val="en-US"/>
        </w:rPr>
        <w:t xml:space="preserve">Our delivery team brings directly relevant public-sector research, survey methodology, data engineering and accessibility capability. Larkfield has never been subject to a contract termination for default and declares no conflicts of interest with Marlow Borough Council.</w:t>
      </w:r>
    </w:p>
    <w:p>
      <w:pPr>
        <w:pStyle w:val="Heading2"/>
        <w:outlineLvl w:val="1"/>
      </w:pPr>
      <w:r>
        <w:rPr>
          <w:lang w:val="en-US"/>
        </w:rPr>
        <w:t xml:space="preserve">Technical Approach</w:t>
      </w:r>
    </w:p>
    <w:p>
      <w:pPr>
        <w:pStyle w:val="Normal"/>
      </w:pPr>
      <w:r>
        <w:rPr>
          <w:lang w:val="en-US"/>
        </w:rPr>
        <w:t xml:space="preserve">We will begin with a two-week discovery comprising stakeholder interviews, a data inventory and a written data protection impact assessment. The Council will sign off the DPIA before any personal data moves. We will agree the common data layout, data dictionary, sampling and weighting method, acceptance criteria and delivery priorities during discovery.</w:t>
      </w:r>
    </w:p>
    <w:tbl>
      <w:tblPr>
        <w:tblW w:w="9026" w:type="dxa"/>
        <w:tblInd w:w="0" w:type="dxa"/>
        <w:tblBorders>
          <w:top w:val="single" w:color="B9C3CC" w:sz="6"/>
          <w:left w:val="single" w:color="B9C3CC" w:sz="6"/>
          <w:bottom w:val="single" w:color="B9C3CC" w:sz="6"/>
          <w:right w:val="single" w:color="B9C3CC" w:sz="6"/>
          <w:insideH w:val="single" w:color="B9C3CC" w:sz="6"/>
          <w:insideV w:val="single" w:color="B9C3CC" w:sz="6"/>
        </w:tblBorders>
        <w:tblLayout w:type="fixed"/>
        <w:tblCellMar>
          <w:top w:w="85" w:type="dxa"/>
          <w:left w:w="118" w:type="dxa"/>
          <w:bottom w:w="85" w:type="dxa"/>
          <w:right w:w="118" w:type="dxa"/>
        </w:tblCellMar>
      </w:tblPr>
      <w:tblGrid>
        <w:gridCol w:w="3009"/>
        <w:gridCol w:w="3009"/>
        <w:gridCol w:w="3008"/>
      </w:tblGrid>
      <w:tr>
        <w:trPr>
          <w:cantSplit/>
          <w:tblHeader/>
        </w:trPr>
        <w:tc>
          <w:tcPr>
            <w:tcW w:w="3009" w:type="dxa"/>
            <w:shd w:val="clear" w:color="auto" w:fill="E3E9EF"/>
          </w:tcPr>
          <w:p>
            <w:pPr>
              <w:pStyle w:val="TableHeading"/>
              <w:spacing w:before="0" w:after="0" w:line="240" w:lineRule="auto"/>
              <w:ind w:left="0" w:right="0" w:firstLine="0"/>
              <w:jc w:val="left"/>
            </w:pPr>
            <w:r>
              <w:rPr>
                <w:b/>
                <w:lang w:val="en-US"/>
              </w:rPr>
              <w:t xml:space="preserve">Requirement</w:t>
            </w:r>
          </w:p>
        </w:tc>
        <w:tc>
          <w:tcPr>
            <w:tcW w:w="3009" w:type="dxa"/>
            <w:shd w:val="clear" w:color="auto" w:fill="E3E9EF"/>
          </w:tcPr>
          <w:p>
            <w:pPr>
              <w:pStyle w:val="TableHeading"/>
              <w:spacing w:before="0" w:after="0" w:line="240" w:lineRule="auto"/>
              <w:ind w:left="0" w:right="0" w:firstLine="0"/>
              <w:jc w:val="left"/>
            </w:pPr>
            <w:r>
              <w:rPr>
                <w:b/>
                <w:lang w:val="en-US"/>
              </w:rPr>
              <w:t xml:space="preserve">Response and evidence of capability</w:t>
            </w:r>
          </w:p>
        </w:tc>
        <w:tc>
          <w:tcPr>
            <w:tcW w:w="3008" w:type="dxa"/>
            <w:shd w:val="clear" w:color="auto" w:fill="E3E9EF"/>
          </w:tcPr>
          <w:p>
            <w:pPr>
              <w:pStyle w:val="TableHeading"/>
              <w:spacing w:before="0" w:after="0" w:line="240" w:lineRule="auto"/>
              <w:ind w:left="0" w:right="0" w:firstLine="0"/>
              <w:jc w:val="left"/>
            </w:pPr>
            <w:r>
              <w:rPr>
                <w:b/>
                <w:lang w:val="en-US"/>
              </w:rPr>
              <w:t xml:space="preserve">Status</w:t>
            </w:r>
          </w:p>
        </w:tc>
      </w:tr>
      <w:tr>
        <w:trPr>
          <w:cantSplit/>
        </w:trPr>
        <w:tc>
          <w:tcPr>
            <w:tcW w:w="3009" w:type="dxa"/>
          </w:tcPr>
          <w:p>
            <w:pPr>
              <w:pStyle w:val="TableText"/>
              <w:spacing w:before="0" w:after="0" w:line="240" w:lineRule="auto"/>
              <w:ind w:left="0" w:right="0" w:firstLine="0"/>
              <w:jc w:val="left"/>
            </w:pPr>
            <w:r>
              <w:rPr>
                <w:lang w:val="en-US"/>
              </w:rPr>
              <w:t xml:space="preserve">R1</w:t>
            </w:r>
          </w:p>
        </w:tc>
        <w:tc>
          <w:tcPr>
            <w:tcW w:w="3009" w:type="dxa"/>
          </w:tcPr>
          <w:p>
            <w:pPr>
              <w:pStyle w:val="TableText"/>
              <w:spacing w:before="0" w:after="0" w:line="240" w:lineRule="auto"/>
              <w:ind w:left="0" w:right="0" w:firstLine="0"/>
              <w:jc w:val="left"/>
            </w:pPr>
            <w:r>
              <w:rPr>
                <w:lang w:val="en-US"/>
              </w:rPr>
              <w:t xml:space="preserve">We will deliver one resident survey round in each contract year, using 8,000 postal and online invitations. Our survey practice designs samples that allow response rates to be reported by ward or neighbourhood. We will agree and document a written sampling and weighting method during discovery.</w:t>
            </w:r>
          </w:p>
        </w:tc>
        <w:tc>
          <w:tcPr>
            <w:tcW w:w="3008" w:type="dxa"/>
          </w:tcPr>
          <w:p>
            <w:pPr>
              <w:pStyle w:val="TableText"/>
              <w:spacing w:before="0" w:after="0" w:line="240" w:lineRule="auto"/>
              <w:ind w:left="0" w:right="0" w:firstLine="0"/>
              <w:jc w:val="left"/>
            </w:pPr>
            <w:r>
              <w:rPr>
                <w:lang w:val="en-US"/>
              </w:rPr>
              <w:t xml:space="preserve">Compliant</w:t>
            </w:r>
          </w:p>
        </w:tc>
      </w:tr>
      <w:tr>
        <w:trPr>
          <w:cantSplit/>
        </w:trPr>
        <w:tc>
          <w:tcPr>
            <w:tcW w:w="3009" w:type="dxa"/>
          </w:tcPr>
          <w:p>
            <w:pPr>
              <w:pStyle w:val="TableText"/>
              <w:spacing w:before="0" w:after="0" w:line="240" w:lineRule="auto"/>
              <w:ind w:left="0" w:right="0" w:firstLine="0"/>
              <w:jc w:val="left"/>
            </w:pPr>
            <w:r>
              <w:rPr>
                <w:lang w:val="en-US"/>
              </w:rPr>
              <w:t xml:space="preserve">R2</w:t>
            </w:r>
          </w:p>
        </w:tc>
        <w:tc>
          <w:tcPr>
            <w:tcW w:w="3009" w:type="dxa"/>
          </w:tcPr>
          <w:p>
            <w:pPr>
              <w:pStyle w:val="TableText"/>
              <w:spacing w:before="0" w:after="0" w:line="240" w:lineRule="auto"/>
              <w:ind w:left="0" w:right="0" w:firstLine="0"/>
              <w:jc w:val="left"/>
            </w:pPr>
            <w:r>
              <w:rPr>
                <w:lang w:val="en-US"/>
              </w:rPr>
              <w:t xml:space="preserve">We will connect the web form, contact-centre log, paper comment cards and annual survey into one reporting store. Connections use a scheduled file export, database view or API; where no standard export or interface exists, we will build a read-only export during discovery at no extra charge. Dashboards refresh daily. We will collect paper cards weekly, digitise them through scanning and double-keying, and load them into the common layout.</w:t>
            </w:r>
          </w:p>
        </w:tc>
        <w:tc>
          <w:tcPr>
            <w:tcW w:w="3008" w:type="dxa"/>
          </w:tcPr>
          <w:p>
            <w:pPr>
              <w:pStyle w:val="TableText"/>
              <w:spacing w:before="0" w:after="0" w:line="240" w:lineRule="auto"/>
              <w:ind w:left="0" w:right="0" w:firstLine="0"/>
              <w:jc w:val="left"/>
            </w:pPr>
            <w:r>
              <w:rPr>
                <w:lang w:val="en-US"/>
              </w:rPr>
              <w:t xml:space="preserve">Compliant</w:t>
            </w:r>
          </w:p>
        </w:tc>
      </w:tr>
      <w:tr>
        <w:trPr>
          <w:cantSplit/>
        </w:trPr>
        <w:tc>
          <w:tcPr>
            <w:tcW w:w="3009" w:type="dxa"/>
          </w:tcPr>
          <w:p>
            <w:pPr>
              <w:pStyle w:val="TableText"/>
              <w:spacing w:before="0" w:after="0" w:line="240" w:lineRule="auto"/>
              <w:ind w:left="0" w:right="0" w:firstLine="0"/>
              <w:jc w:val="left"/>
            </w:pPr>
            <w:r>
              <w:rPr>
                <w:lang w:val="en-US"/>
              </w:rPr>
              <w:t xml:space="preserve">R3</w:t>
            </w:r>
          </w:p>
        </w:tc>
        <w:tc>
          <w:tcPr>
            <w:tcW w:w="3009" w:type="dxa"/>
          </w:tcPr>
          <w:p>
            <w:pPr>
              <w:pStyle w:val="TableText"/>
              <w:spacing w:before="0" w:after="0" w:line="240" w:lineRule="auto"/>
              <w:ind w:left="0" w:right="0" w:firstLine="0"/>
              <w:jc w:val="left"/>
            </w:pPr>
            <w:r>
              <w:rPr>
                <w:lang w:val="en-US"/>
              </w:rPr>
              <w:t xml:space="preserve">We will provide browser-based dashboards for at least 20 named service managers. Named-user, role-based access will control dashboard access; the priced platform supports up to 40 named users.</w:t>
            </w:r>
          </w:p>
        </w:tc>
        <w:tc>
          <w:tcPr>
            <w:tcW w:w="3008" w:type="dxa"/>
          </w:tcPr>
          <w:p>
            <w:pPr>
              <w:pStyle w:val="TableText"/>
              <w:spacing w:before="0" w:after="0" w:line="240" w:lineRule="auto"/>
              <w:ind w:left="0" w:right="0" w:firstLine="0"/>
              <w:jc w:val="left"/>
            </w:pPr>
            <w:r>
              <w:rPr>
                <w:lang w:val="en-US"/>
              </w:rPr>
              <w:t xml:space="preserve">Compliant</w:t>
            </w:r>
          </w:p>
        </w:tc>
      </w:tr>
      <w:tr>
        <w:trPr>
          <w:cantSplit/>
        </w:trPr>
        <w:tc>
          <w:tcPr>
            <w:tcW w:w="3009" w:type="dxa"/>
          </w:tcPr>
          <w:p>
            <w:pPr>
              <w:pStyle w:val="TableText"/>
              <w:spacing w:before="0" w:after="0" w:line="240" w:lineRule="auto"/>
              <w:ind w:left="0" w:right="0" w:firstLine="0"/>
              <w:jc w:val="left"/>
            </w:pPr>
            <w:r>
              <w:rPr>
                <w:lang w:val="en-US"/>
              </w:rPr>
              <w:t xml:space="preserve">R4</w:t>
            </w:r>
          </w:p>
        </w:tc>
        <w:tc>
          <w:tcPr>
            <w:tcW w:w="3009" w:type="dxa"/>
          </w:tcPr>
          <w:p>
            <w:pPr>
              <w:pStyle w:val="TableText"/>
              <w:spacing w:before="0" w:after="0" w:line="240" w:lineRule="auto"/>
              <w:ind w:left="0" w:right="0" w:firstLine="0"/>
              <w:jc w:val="left"/>
            </w:pPr>
            <w:r>
              <w:rPr>
                <w:lang w:val="en-US"/>
              </w:rPr>
              <w:t xml:space="preserve">Sunniva Hale, Senior Survey Analyst, will prepare the narrative summary and quarterly written report for Cabinet. We will deliver each report within 15 working days of quarter end. Imogen Farrow will sign off reports and will present to Cabinet on request.</w:t>
            </w:r>
          </w:p>
        </w:tc>
        <w:tc>
          <w:tcPr>
            <w:tcW w:w="3008" w:type="dxa"/>
          </w:tcPr>
          <w:p>
            <w:pPr>
              <w:pStyle w:val="TableText"/>
              <w:spacing w:before="0" w:after="0" w:line="240" w:lineRule="auto"/>
              <w:ind w:left="0" w:right="0" w:firstLine="0"/>
              <w:jc w:val="left"/>
            </w:pPr>
            <w:r>
              <w:rPr>
                <w:lang w:val="en-US"/>
              </w:rPr>
              <w:t xml:space="preserve">Compliant</w:t>
            </w:r>
          </w:p>
        </w:tc>
      </w:tr>
      <w:tr>
        <w:trPr>
          <w:cantSplit/>
        </w:trPr>
        <w:tc>
          <w:tcPr>
            <w:tcW w:w="3009" w:type="dxa"/>
          </w:tcPr>
          <w:p>
            <w:pPr>
              <w:pStyle w:val="TableText"/>
              <w:spacing w:before="0" w:after="0" w:line="240" w:lineRule="auto"/>
              <w:ind w:left="0" w:right="0" w:firstLine="0"/>
              <w:jc w:val="left"/>
            </w:pPr>
            <w:r>
              <w:rPr>
                <w:lang w:val="en-US"/>
              </w:rPr>
              <w:t xml:space="preserve">R5</w:t>
            </w:r>
          </w:p>
        </w:tc>
        <w:tc>
          <w:tcPr>
            <w:tcW w:w="3009" w:type="dxa"/>
          </w:tcPr>
          <w:p>
            <w:pPr>
              <w:pStyle w:val="TableText"/>
              <w:spacing w:before="0" w:after="0" w:line="240" w:lineRule="auto"/>
              <w:ind w:left="0" w:right="0" w:firstLine="0"/>
              <w:jc w:val="left"/>
            </w:pPr>
            <w:r>
              <w:rPr>
                <w:lang w:val="en-US"/>
              </w:rPr>
              <w:t xml:space="preserve">We will conduct a written DPIA during discovery and obtain Council sign-off before personal data is processed. We will collect and retain only personal data needed for the agreed project purpose.</w:t>
            </w:r>
          </w:p>
        </w:tc>
        <w:tc>
          <w:tcPr>
            <w:tcW w:w="3008" w:type="dxa"/>
          </w:tcPr>
          <w:p>
            <w:pPr>
              <w:pStyle w:val="TableText"/>
              <w:spacing w:before="0" w:after="0" w:line="240" w:lineRule="auto"/>
              <w:ind w:left="0" w:right="0" w:firstLine="0"/>
              <w:jc w:val="left"/>
            </w:pPr>
            <w:r>
              <w:rPr>
                <w:lang w:val="en-US"/>
              </w:rPr>
              <w:t xml:space="preserve">Compliant</w:t>
            </w:r>
          </w:p>
        </w:tc>
      </w:tr>
      <w:tr>
        <w:trPr>
          <w:cantSplit/>
        </w:trPr>
        <w:tc>
          <w:tcPr>
            <w:tcW w:w="3009" w:type="dxa"/>
          </w:tcPr>
          <w:p>
            <w:pPr>
              <w:pStyle w:val="TableText"/>
              <w:spacing w:before="0" w:after="0" w:line="240" w:lineRule="auto"/>
              <w:ind w:left="0" w:right="0" w:firstLine="0"/>
              <w:jc w:val="left"/>
            </w:pPr>
            <w:r>
              <w:rPr>
                <w:lang w:val="en-US"/>
              </w:rPr>
              <w:t xml:space="preserve">R6</w:t>
            </w:r>
          </w:p>
        </w:tc>
        <w:tc>
          <w:tcPr>
            <w:tcW w:w="3009" w:type="dxa"/>
          </w:tcPr>
          <w:p>
            <w:pPr>
              <w:pStyle w:val="TableText"/>
              <w:spacing w:before="0" w:after="0" w:line="240" w:lineRule="auto"/>
              <w:ind w:left="0" w:right="0" w:firstLine="0"/>
              <w:jc w:val="left"/>
            </w:pPr>
            <w:r>
              <w:rPr>
                <w:lang w:val="en-US"/>
              </w:rPr>
              <w:t xml:space="preserve">We will host Council data in a UK data centre, with encryption at rest and in transit.</w:t>
            </w:r>
          </w:p>
        </w:tc>
        <w:tc>
          <w:tcPr>
            <w:tcW w:w="3008" w:type="dxa"/>
          </w:tcPr>
          <w:p>
            <w:pPr>
              <w:pStyle w:val="TableText"/>
              <w:spacing w:before="0" w:after="0" w:line="240" w:lineRule="auto"/>
              <w:ind w:left="0" w:right="0" w:firstLine="0"/>
              <w:jc w:val="left"/>
            </w:pPr>
            <w:r>
              <w:rPr>
                <w:lang w:val="en-US"/>
              </w:rPr>
              <w:t xml:space="preserve">Compliant</w:t>
            </w:r>
          </w:p>
        </w:tc>
      </w:tr>
      <w:tr>
        <w:trPr>
          <w:cantSplit/>
        </w:trPr>
        <w:tc>
          <w:tcPr>
            <w:tcW w:w="3009" w:type="dxa"/>
          </w:tcPr>
          <w:p>
            <w:pPr>
              <w:pStyle w:val="TableText"/>
              <w:spacing w:before="0" w:after="0" w:line="240" w:lineRule="auto"/>
              <w:ind w:left="0" w:right="0" w:firstLine="0"/>
              <w:jc w:val="left"/>
            </w:pPr>
            <w:r>
              <w:rPr>
                <w:lang w:val="en-US"/>
              </w:rPr>
              <w:t xml:space="preserve">R7</w:t>
            </w:r>
          </w:p>
        </w:tc>
        <w:tc>
          <w:tcPr>
            <w:tcW w:w="3009" w:type="dxa"/>
          </w:tcPr>
          <w:p>
            <w:pPr>
              <w:pStyle w:val="TableText"/>
              <w:spacing w:before="0" w:after="0" w:line="240" w:lineRule="auto"/>
              <w:ind w:left="0" w:right="0" w:firstLine="0"/>
              <w:jc w:val="left"/>
            </w:pPr>
            <w:r>
              <w:rPr>
                <w:lang w:val="en-US"/>
              </w:rPr>
              <w:t xml:space="preserve">We will notify the Council within 24 hours of confirming a personal-data breach. The notice will state what happened, affected data and actions being taken at that time.</w:t>
            </w:r>
          </w:p>
        </w:tc>
        <w:tc>
          <w:tcPr>
            <w:tcW w:w="3008" w:type="dxa"/>
          </w:tcPr>
          <w:p>
            <w:pPr>
              <w:pStyle w:val="TableText"/>
              <w:spacing w:before="0" w:after="0" w:line="240" w:lineRule="auto"/>
              <w:ind w:left="0" w:right="0" w:firstLine="0"/>
              <w:jc w:val="left"/>
            </w:pPr>
            <w:r>
              <w:rPr>
                <w:lang w:val="en-US"/>
              </w:rPr>
              <w:t xml:space="preserve">Compliant</w:t>
            </w:r>
          </w:p>
        </w:tc>
      </w:tr>
      <w:tr>
        <w:trPr>
          <w:cantSplit/>
        </w:trPr>
        <w:tc>
          <w:tcPr>
            <w:tcW w:w="3009" w:type="dxa"/>
          </w:tcPr>
          <w:p>
            <w:pPr>
              <w:pStyle w:val="TableText"/>
              <w:spacing w:before="0" w:after="0" w:line="240" w:lineRule="auto"/>
              <w:ind w:left="0" w:right="0" w:firstLine="0"/>
              <w:jc w:val="left"/>
            </w:pPr>
            <w:r>
              <w:rPr>
                <w:lang w:val="en-US"/>
              </w:rPr>
              <w:t xml:space="preserve">R8</w:t>
            </w:r>
          </w:p>
        </w:tc>
        <w:tc>
          <w:tcPr>
            <w:tcW w:w="3009" w:type="dxa"/>
          </w:tcPr>
          <w:p>
            <w:pPr>
              <w:pStyle w:val="TableText"/>
              <w:spacing w:before="0" w:after="0" w:line="240" w:lineRule="auto"/>
              <w:ind w:left="0" w:right="0" w:firstLine="0"/>
              <w:jc w:val="left"/>
            </w:pPr>
            <w:r>
              <w:rPr>
                <w:lang w:val="en-US"/>
              </w:rPr>
              <w:t xml:space="preserve">Tomasz Wren, Dashboard Developer, will own accessibility testing. Dashboards will be built and tested against WCAG 2.2 level AA before launch and at each major release. We will record and fix identified accessibility defects before go-live.</w:t>
            </w:r>
          </w:p>
        </w:tc>
        <w:tc>
          <w:tcPr>
            <w:tcW w:w="3008" w:type="dxa"/>
          </w:tcPr>
          <w:p>
            <w:pPr>
              <w:pStyle w:val="TableText"/>
              <w:spacing w:before="0" w:after="0" w:line="240" w:lineRule="auto"/>
              <w:ind w:left="0" w:right="0" w:firstLine="0"/>
              <w:jc w:val="left"/>
            </w:pPr>
            <w:r>
              <w:rPr>
                <w:lang w:val="en-US"/>
              </w:rPr>
              <w:t xml:space="preserve">Compliant</w:t>
            </w:r>
          </w:p>
        </w:tc>
      </w:tr>
      <w:tr>
        <w:trPr>
          <w:cantSplit/>
        </w:trPr>
        <w:tc>
          <w:tcPr>
            <w:tcW w:w="3009" w:type="dxa"/>
          </w:tcPr>
          <w:p>
            <w:pPr>
              <w:pStyle w:val="TableText"/>
              <w:spacing w:before="0" w:after="0" w:line="240" w:lineRule="auto"/>
              <w:ind w:left="0" w:right="0" w:firstLine="0"/>
              <w:jc w:val="left"/>
            </w:pPr>
            <w:r>
              <w:rPr>
                <w:lang w:val="en-US"/>
              </w:rPr>
              <w:t xml:space="preserve">R9</w:t>
            </w:r>
          </w:p>
        </w:tc>
        <w:tc>
          <w:tcPr>
            <w:tcW w:w="3009" w:type="dxa"/>
          </w:tcPr>
          <w:p>
            <w:pPr>
              <w:pStyle w:val="TableText"/>
              <w:spacing w:before="0" w:after="0" w:line="240" w:lineRule="auto"/>
              <w:ind w:left="0" w:right="0" w:firstLine="0"/>
              <w:jc w:val="left"/>
            </w:pPr>
            <w:r>
              <w:rPr>
                <w:lang w:val="en-US"/>
              </w:rPr>
              <w:t xml:space="preserve">Imogen Farrow is the named Engagement Lead. The escalation route is Imogen Farrow, then Larkfield's Managing Director.</w:t>
            </w:r>
          </w:p>
        </w:tc>
        <w:tc>
          <w:tcPr>
            <w:tcW w:w="3008" w:type="dxa"/>
          </w:tcPr>
          <w:p>
            <w:pPr>
              <w:pStyle w:val="TableText"/>
              <w:spacing w:before="0" w:after="0" w:line="240" w:lineRule="auto"/>
              <w:ind w:left="0" w:right="0" w:firstLine="0"/>
              <w:jc w:val="left"/>
            </w:pPr>
            <w:r>
              <w:rPr>
                <w:lang w:val="en-US"/>
              </w:rPr>
              <w:t xml:space="preserve">Compliant</w:t>
            </w:r>
          </w:p>
        </w:tc>
      </w:tr>
      <w:tr>
        <w:trPr>
          <w:cantSplit/>
        </w:trPr>
        <w:tc>
          <w:tcPr>
            <w:tcW w:w="3009" w:type="dxa"/>
          </w:tcPr>
          <w:p>
            <w:pPr>
              <w:pStyle w:val="TableText"/>
              <w:spacing w:before="0" w:after="0" w:line="240" w:lineRule="auto"/>
              <w:ind w:left="0" w:right="0" w:firstLine="0"/>
              <w:jc w:val="left"/>
            </w:pPr>
            <w:r>
              <w:rPr>
                <w:lang w:val="en-US"/>
              </w:rPr>
              <w:t xml:space="preserve">R10</w:t>
            </w:r>
          </w:p>
        </w:tc>
        <w:tc>
          <w:tcPr>
            <w:tcW w:w="3009" w:type="dxa"/>
          </w:tcPr>
          <w:p>
            <w:pPr>
              <w:pStyle w:val="TableText"/>
              <w:spacing w:before="0" w:after="0" w:line="240" w:lineRule="auto"/>
              <w:ind w:left="0" w:right="0" w:firstLine="0"/>
              <w:jc w:val="left"/>
            </w:pPr>
            <w:r>
              <w:rPr>
                <w:lang w:val="en-US"/>
              </w:rPr>
              <w:t xml:space="preserve">We provide two comparable local authority references: Wexcombe District Council and Ardmoor Borough Council. Both contracts were completed within the last three years.</w:t>
            </w:r>
          </w:p>
        </w:tc>
        <w:tc>
          <w:tcPr>
            <w:tcW w:w="3008" w:type="dxa"/>
          </w:tcPr>
          <w:p>
            <w:pPr>
              <w:pStyle w:val="TableText"/>
              <w:spacing w:before="0" w:after="0" w:line="240" w:lineRule="auto"/>
              <w:ind w:left="0" w:right="0" w:firstLine="0"/>
              <w:jc w:val="left"/>
            </w:pPr>
            <w:r>
              <w:rPr>
                <w:lang w:val="en-US"/>
              </w:rPr>
              <w:t xml:space="preserve">Compliant</w:t>
            </w:r>
          </w:p>
        </w:tc>
      </w:tr>
      <w:tr>
        <w:trPr>
          <w:cantSplit/>
        </w:trPr>
        <w:tc>
          <w:tcPr>
            <w:tcW w:w="3009" w:type="dxa"/>
          </w:tcPr>
          <w:p>
            <w:pPr>
              <w:pStyle w:val="TableText"/>
              <w:spacing w:before="0" w:after="0" w:line="240" w:lineRule="auto"/>
              <w:ind w:left="0" w:right="0" w:firstLine="0"/>
              <w:jc w:val="left"/>
            </w:pPr>
            <w:r>
              <w:rPr>
                <w:lang w:val="en-US"/>
              </w:rPr>
              <w:t xml:space="preserve">D1</w:t>
            </w:r>
          </w:p>
        </w:tc>
        <w:tc>
          <w:tcPr>
            <w:tcW w:w="3009" w:type="dxa"/>
          </w:tcPr>
          <w:p>
            <w:pPr>
              <w:pStyle w:val="TableText"/>
              <w:spacing w:before="0" w:after="0" w:line="240" w:lineRule="auto"/>
              <w:ind w:left="0" w:right="0" w:firstLine="0"/>
              <w:jc w:val="left"/>
            </w:pPr>
            <w:r>
              <w:rPr>
                <w:lang w:val="en-US"/>
              </w:rPr>
              <w:t xml:space="preserve">Our tenant-satisfaction experience includes Tavistone Housing Association, where we redesigned the annual tenant survey around regulator-required measures and delivered a quarterly board dashboard.</w:t>
            </w:r>
          </w:p>
        </w:tc>
        <w:tc>
          <w:tcPr>
            <w:tcW w:w="3008" w:type="dxa"/>
          </w:tcPr>
          <w:p>
            <w:pPr>
              <w:pStyle w:val="TableText"/>
              <w:spacing w:before="0" w:after="0" w:line="240" w:lineRule="auto"/>
              <w:ind w:left="0" w:right="0" w:firstLine="0"/>
              <w:jc w:val="left"/>
            </w:pPr>
            <w:r>
              <w:rPr>
                <w:lang w:val="en-US"/>
              </w:rPr>
              <w:t xml:space="preserve">Offered</w:t>
            </w:r>
          </w:p>
        </w:tc>
      </w:tr>
      <w:tr>
        <w:trPr>
          <w:cantSplit/>
        </w:trPr>
        <w:tc>
          <w:tcPr>
            <w:tcW w:w="3009" w:type="dxa"/>
          </w:tcPr>
          <w:p>
            <w:pPr>
              <w:pStyle w:val="TableText"/>
              <w:spacing w:before="0" w:after="0" w:line="240" w:lineRule="auto"/>
              <w:ind w:left="0" w:right="0" w:firstLine="0"/>
              <w:jc w:val="left"/>
            </w:pPr>
            <w:r>
              <w:rPr>
                <w:lang w:val="en-US"/>
              </w:rPr>
              <w:t xml:space="preserve">D2</w:t>
            </w:r>
          </w:p>
        </w:tc>
        <w:tc>
          <w:tcPr>
            <w:tcW w:w="3009" w:type="dxa"/>
          </w:tcPr>
          <w:p>
            <w:pPr>
              <w:pStyle w:val="TableText"/>
              <w:spacing w:before="0" w:after="0" w:line="240" w:lineRule="auto"/>
              <w:ind w:left="0" w:right="0" w:firstLine="0"/>
              <w:jc w:val="left"/>
            </w:pPr>
            <w:r>
              <w:rPr>
                <w:lang w:val="en-US"/>
              </w:rPr>
              <w:t xml:space="preserve">Hosting and dashboard licences are charged at a fixed £1,400 per month for up to 40 named users, fixed for the contract term and any extension.</w:t>
            </w:r>
          </w:p>
        </w:tc>
        <w:tc>
          <w:tcPr>
            <w:tcW w:w="3008" w:type="dxa"/>
          </w:tcPr>
          <w:p>
            <w:pPr>
              <w:pStyle w:val="TableText"/>
              <w:spacing w:before="0" w:after="0" w:line="240" w:lineRule="auto"/>
              <w:ind w:left="0" w:right="0" w:firstLine="0"/>
              <w:jc w:val="left"/>
            </w:pPr>
            <w:r>
              <w:rPr>
                <w:lang w:val="en-US"/>
              </w:rPr>
              <w:t xml:space="preserve">Offered</w:t>
            </w:r>
          </w:p>
        </w:tc>
      </w:tr>
      <w:tr>
        <w:trPr>
          <w:cantSplit/>
        </w:trPr>
        <w:tc>
          <w:tcPr>
            <w:tcW w:w="3009" w:type="dxa"/>
          </w:tcPr>
          <w:p>
            <w:pPr>
              <w:pStyle w:val="TableText"/>
              <w:spacing w:before="0" w:after="0" w:line="240" w:lineRule="auto"/>
              <w:ind w:left="0" w:right="0" w:firstLine="0"/>
              <w:jc w:val="left"/>
            </w:pPr>
            <w:r>
              <w:rPr>
                <w:lang w:val="en-US"/>
              </w:rPr>
              <w:t xml:space="preserve">D3</w:t>
            </w:r>
          </w:p>
        </w:tc>
        <w:tc>
          <w:tcPr>
            <w:tcW w:w="3009" w:type="dxa"/>
          </w:tcPr>
          <w:p>
            <w:pPr>
              <w:pStyle w:val="TableText"/>
              <w:spacing w:before="0" w:after="0" w:line="240" w:lineRule="auto"/>
              <w:ind w:left="0" w:right="0" w:firstLine="0"/>
              <w:jc w:val="left"/>
            </w:pPr>
            <w:r>
              <w:rPr>
                <w:lang w:val="en-US"/>
              </w:rPr>
              <w:t xml:space="preserve">We will provide one 90-minute briefing for elected members in each contract year, supported by a recorded walkthrough of every dashboard.</w:t>
            </w:r>
          </w:p>
        </w:tc>
        <w:tc>
          <w:tcPr>
            <w:tcW w:w="3008" w:type="dxa"/>
          </w:tcPr>
          <w:p>
            <w:pPr>
              <w:pStyle w:val="TableText"/>
              <w:spacing w:before="0" w:after="0" w:line="240" w:lineRule="auto"/>
              <w:ind w:left="0" w:right="0" w:firstLine="0"/>
              <w:jc w:val="left"/>
            </w:pPr>
            <w:r>
              <w:rPr>
                <w:lang w:val="en-US"/>
              </w:rPr>
              <w:t xml:space="preserve">Offered</w:t>
            </w:r>
          </w:p>
        </w:tc>
      </w:tr>
    </w:tbl>
    <w:p>
      <w:pPr>
        <w:pStyle w:val="Heading2"/>
        <w:outlineLvl w:val="1"/>
      </w:pPr>
      <w:r>
        <w:rPr>
          <w:lang w:val="en-US"/>
        </w:rPr>
        <w:t xml:space="preserve">Management Approach</w:t>
      </w:r>
    </w:p>
    <w:p>
      <w:pPr>
        <w:pStyle w:val="Normal"/>
      </w:pPr>
      <w:r>
        <w:rPr>
          <w:lang w:val="en-US"/>
        </w:rPr>
        <w:t xml:space="preserve">Imogen Farrow, Engagement Director, will lead the contract, provide the primary senior contact and sign off every report. Dev Okonkwo, Lead Data Engineer, will lead data connections and own the project DPIA. Sunniva Hale will lead survey analysis and quarterly reporting. Tomasz Wren will lead dashboard development and accessibility testing.</w:t>
      </w:r>
    </w:p>
    <w:p>
      <w:pPr>
        <w:pStyle w:val="Normal"/>
      </w:pPr>
      <w:r>
        <w:rPr>
          <w:lang w:val="en-US"/>
        </w:rPr>
        <w:t xml:space="preserve">We will deliver through fortnightly sprints. Each sprint will produce a written progress report, and we will maintain a risk register for review at every steering meeting. We will demonstrate each deliverable to the Council's nominated approver. The Council will confirm acceptance in writing against discovery-stage criteria or identify material issues for correction.</w:t>
      </w:r>
    </w:p>
    <w:p>
      <w:pPr>
        <w:pStyle w:val="Normal"/>
      </w:pPr>
      <w:r>
        <w:rPr>
          <w:lang w:val="en-US"/>
        </w:rPr>
        <w:t xml:space="preserve">Training will include two half-day, in-person sessions for service managers: one at launch and one at month six. We will also deliver one 90-minute elected-member briefing in each year and provide a recorded walkthrough of every dashboard.</w:t>
      </w:r>
    </w:p>
    <w:p>
      <w:pPr>
        <w:pStyle w:val="Normal"/>
      </w:pPr>
      <w:r>
        <w:rPr>
          <w:lang w:val="en-US"/>
        </w:rPr>
        <w:t xml:space="preserve">The service includes a quarterly access review for named users. Our escalation route is Imogen Farrow followed by Larkfield's Managing Director.</w:t>
      </w:r>
    </w:p>
    <w:p>
      <w:pPr>
        <w:pStyle w:val="Heading2"/>
        <w:outlineLvl w:val="1"/>
      </w:pPr>
      <w:r>
        <w:rPr>
          <w:lang w:val="en-US"/>
        </w:rPr>
        <w:t xml:space="preserve">Past Performance / References</w:t>
      </w:r>
    </w:p>
    <w:p>
      <w:pPr>
        <w:pStyle w:val="Normal"/>
      </w:pPr>
      <w:r>
        <w:rPr>
          <w:b/>
          <w:lang w:val="en-US"/>
        </w:rPr>
        <w:t xml:space="preserve">Wexcombe District Council - Resident Feedback Programme, 2023-2025.</w:t>
      </w:r>
      <w:r>
        <w:rPr>
          <w:lang w:val="en-US"/>
        </w:rPr>
        <w:t xml:space="preserve"> Larkfield replaced four separate feedback forms with one survey and a weekly dashboard. Response rate rose from 9% to 23% over 18 months. The £212,000 contract was delivered on time and 3% under budget.</w:t>
      </w:r>
    </w:p>
    <w:p>
      <w:pPr>
        <w:pStyle w:val="Normal"/>
      </w:pPr>
      <w:r>
        <w:rPr>
          <w:lang w:val="en-US"/>
        </w:rPr>
        <w:t xml:space="preserve">Reference: Corin Aldous, Head of Customer Services, </w:t>
      </w:r>
      <w:hyperlink xmlns:r="http://schemas.openxmlformats.org/officeDocument/2006/relationships" w:history="true" r:id="Rf6f10898a0824b22">
        <w:r>
          <w:rPr>
            <w:rStyle w:val="Hyperlink"/>
            <w:lang w:val="en-US"/>
          </w:rPr>
          <w:t xml:space="preserve">corin.aldous@wexcombe-council.example</w:t>
        </w:r>
      </w:hyperlink>
      <w:r>
        <w:rPr>
          <w:lang w:val="en-US"/>
        </w:rPr>
        <w:t xml:space="preserve"> (mailto:corin.aldous@wexcombe-council.example)</w:t>
      </w:r>
      <w:r>
        <w:rPr>
          <w:lang w:val="en-US"/>
        </w:rPr>
        <w:t xml:space="preserve">, 01000 555 0101.</w:t>
      </w:r>
    </w:p>
    <w:p>
      <w:pPr>
        <w:pStyle w:val="Normal"/>
      </w:pPr>
      <w:r>
        <w:rPr>
          <w:b/>
          <w:lang w:val="en-US"/>
        </w:rPr>
        <w:t xml:space="preserve">Ardmoor Borough Council - Complaints and Compliments Analytics, 2023-2024.</w:t>
      </w:r>
      <w:r>
        <w:rPr>
          <w:lang w:val="en-US"/>
        </w:rPr>
        <w:t xml:space="preserve"> Larkfield joined three complaints and compliments data sources into one dashboard for 14 service managers. Median quarterly-report production time reduced from 11 working days to three. The £148,000 contract was delivered on time.</w:t>
      </w:r>
    </w:p>
    <w:p>
      <w:pPr>
        <w:pStyle w:val="Normal"/>
      </w:pPr>
      <w:r>
        <w:rPr>
          <w:lang w:val="en-US"/>
        </w:rPr>
        <w:t xml:space="preserve">Reference: Elspeth Rowan, Head of Corporate Performance, </w:t>
      </w:r>
      <w:hyperlink xmlns:r="http://schemas.openxmlformats.org/officeDocument/2006/relationships" w:history="true" r:id="Re69cf3dbd7094eeb">
        <w:r>
          <w:rPr>
            <w:rStyle w:val="Hyperlink"/>
            <w:lang w:val="en-US"/>
          </w:rPr>
          <w:t xml:space="preserve">elspeth.rowan@ardmoor-council.example</w:t>
        </w:r>
      </w:hyperlink>
      <w:r>
        <w:rPr>
          <w:lang w:val="en-US"/>
        </w:rPr>
        <w:t xml:space="preserve"> (mailto:elspeth.rowan@ardmoor-council.example)</w:t>
      </w:r>
      <w:r>
        <w:rPr>
          <w:lang w:val="en-US"/>
        </w:rPr>
        <w:t xml:space="preserve">, 01000 555 0102.</w:t>
      </w:r>
    </w:p>
    <w:p>
      <w:pPr>
        <w:pStyle w:val="Normal"/>
      </w:pPr>
      <w:r>
        <w:rPr>
          <w:lang w:val="en-US"/>
        </w:rPr>
        <w:t xml:space="preserve">Both referees have agreed to be contacted by the Council.</w:t>
      </w:r>
    </w:p>
    <w:p>
      <w:pPr>
        <w:pStyle w:val="Heading2"/>
        <w:outlineLvl w:val="1"/>
      </w:pPr>
      <w:r>
        <w:rPr>
          <w:lang w:val="en-US"/>
        </w:rPr>
        <w:t xml:space="preserve">Pricing Volume</w:t>
      </w:r>
    </w:p>
    <w:p>
      <w:pPr>
        <w:pStyle w:val="Normal"/>
      </w:pPr>
      <w:r>
        <w:rPr>
          <w:lang w:val="en-US"/>
        </w:rPr>
        <w:t xml:space="preserve">All prices are in pounds sterling, excluding VAT, for the 24-month contract term. The total is within the Council's £330,000 excluding-VAT budget ceiling.</w:t>
      </w:r>
    </w:p>
    <w:tbl>
      <w:tblPr>
        <w:tblW w:w="9026" w:type="dxa"/>
        <w:tblInd w:w="0" w:type="dxa"/>
        <w:tblBorders>
          <w:top w:val="single" w:color="B9C3CC" w:sz="6"/>
          <w:left w:val="single" w:color="B9C3CC" w:sz="6"/>
          <w:bottom w:val="single" w:color="B9C3CC" w:sz="6"/>
          <w:right w:val="single" w:color="B9C3CC" w:sz="6"/>
          <w:insideH w:val="single" w:color="B9C3CC" w:sz="6"/>
          <w:insideV w:val="single" w:color="B9C3CC" w:sz="6"/>
        </w:tblBorders>
        <w:tblLayout w:type="fixed"/>
        <w:tblCellMar>
          <w:top w:w="85" w:type="dxa"/>
          <w:left w:w="118" w:type="dxa"/>
          <w:bottom w:w="85" w:type="dxa"/>
          <w:right w:w="118" w:type="dxa"/>
        </w:tblCellMar>
      </w:tblPr>
      <w:tblGrid>
        <w:gridCol w:w="3009"/>
        <w:gridCol w:w="3009"/>
        <w:gridCol w:w="3008"/>
      </w:tblGrid>
      <w:tr>
        <w:trPr>
          <w:cantSplit/>
          <w:tblHeader/>
        </w:trPr>
        <w:tc>
          <w:tcPr>
            <w:tcW w:w="3009" w:type="dxa"/>
            <w:shd w:val="clear" w:color="auto" w:fill="E3E9EF"/>
          </w:tcPr>
          <w:p>
            <w:pPr>
              <w:pStyle w:val="TableHeading"/>
              <w:spacing w:before="0" w:after="0" w:line="240" w:lineRule="auto"/>
              <w:ind w:left="0" w:right="0" w:firstLine="0"/>
              <w:jc w:val="left"/>
            </w:pPr>
            <w:r>
              <w:rPr>
                <w:b/>
                <w:lang w:val="en-US"/>
              </w:rPr>
              <w:t xml:space="preserve">Line item</w:t>
            </w:r>
          </w:p>
        </w:tc>
        <w:tc>
          <w:tcPr>
            <w:tcW w:w="3009" w:type="dxa"/>
            <w:shd w:val="clear" w:color="auto" w:fill="E3E9EF"/>
          </w:tcPr>
          <w:p>
            <w:pPr>
              <w:pStyle w:val="TableHeading"/>
              <w:spacing w:before="0" w:after="0" w:line="240" w:lineRule="auto"/>
              <w:ind w:left="0" w:right="0" w:firstLine="0"/>
              <w:jc w:val="left"/>
            </w:pPr>
            <w:r>
              <w:rPr>
                <w:b/>
                <w:lang w:val="en-US"/>
              </w:rPr>
              <w:t xml:space="preserve">Volume and rate</w:t>
            </w:r>
          </w:p>
        </w:tc>
        <w:tc>
          <w:tcPr>
            <w:tcW w:w="3008" w:type="dxa"/>
            <w:shd w:val="clear" w:color="auto" w:fill="E3E9EF"/>
          </w:tcPr>
          <w:p>
            <w:pPr>
              <w:pStyle w:val="TableHeading"/>
              <w:spacing w:before="0" w:after="0" w:line="240" w:lineRule="auto"/>
              <w:ind w:left="0" w:right="0" w:firstLine="0"/>
              <w:jc w:val="left"/>
            </w:pPr>
            <w:r>
              <w:rPr>
                <w:b/>
                <w:lang w:val="en-US"/>
              </w:rPr>
              <w:t xml:space="preserve">Total excluding VAT</w:t>
            </w:r>
          </w:p>
        </w:tc>
      </w:tr>
      <w:tr>
        <w:trPr>
          <w:cantSplit/>
        </w:trPr>
        <w:tc>
          <w:tcPr>
            <w:tcW w:w="3009" w:type="dxa"/>
          </w:tcPr>
          <w:p>
            <w:pPr>
              <w:pStyle w:val="TableText"/>
              <w:spacing w:before="0" w:after="0" w:line="240" w:lineRule="auto"/>
              <w:ind w:left="0" w:right="0" w:firstLine="0"/>
              <w:jc w:val="left"/>
            </w:pPr>
            <w:r>
              <w:rPr>
                <w:lang w:val="en-US"/>
              </w:rPr>
              <w:t xml:space="preserve">Engagement Director</w:t>
            </w:r>
          </w:p>
        </w:tc>
        <w:tc>
          <w:tcPr>
            <w:tcW w:w="3009" w:type="dxa"/>
          </w:tcPr>
          <w:p>
            <w:pPr>
              <w:pStyle w:val="TableText"/>
              <w:spacing w:before="0" w:after="0" w:line="240" w:lineRule="auto"/>
              <w:ind w:left="0" w:right="0" w:firstLine="0"/>
              <w:jc w:val="left"/>
            </w:pPr>
            <w:r>
              <w:rPr>
                <w:lang w:val="en-US"/>
              </w:rPr>
              <w:t xml:space="preserve">24 days × £1,150</w:t>
            </w:r>
          </w:p>
        </w:tc>
        <w:tc>
          <w:tcPr>
            <w:tcW w:w="3008" w:type="dxa"/>
          </w:tcPr>
          <w:p>
            <w:pPr>
              <w:pStyle w:val="TableText"/>
              <w:spacing w:before="0" w:after="0" w:line="240" w:lineRule="auto"/>
              <w:ind w:left="0" w:right="0" w:firstLine="0"/>
              <w:jc w:val="left"/>
            </w:pPr>
            <w:r>
              <w:rPr>
                <w:lang w:val="en-US"/>
              </w:rPr>
              <w:t xml:space="preserve">£27,600</w:t>
            </w:r>
          </w:p>
        </w:tc>
      </w:tr>
      <w:tr>
        <w:trPr>
          <w:cantSplit/>
        </w:trPr>
        <w:tc>
          <w:tcPr>
            <w:tcW w:w="3009" w:type="dxa"/>
          </w:tcPr>
          <w:p>
            <w:pPr>
              <w:pStyle w:val="TableText"/>
              <w:spacing w:before="0" w:after="0" w:line="240" w:lineRule="auto"/>
              <w:ind w:left="0" w:right="0" w:firstLine="0"/>
              <w:jc w:val="left"/>
            </w:pPr>
            <w:r>
              <w:rPr>
                <w:lang w:val="en-US"/>
              </w:rPr>
              <w:t xml:space="preserve">Lead Data Engineer</w:t>
            </w:r>
          </w:p>
        </w:tc>
        <w:tc>
          <w:tcPr>
            <w:tcW w:w="3009" w:type="dxa"/>
          </w:tcPr>
          <w:p>
            <w:pPr>
              <w:pStyle w:val="TableText"/>
              <w:spacing w:before="0" w:after="0" w:line="240" w:lineRule="auto"/>
              <w:ind w:left="0" w:right="0" w:firstLine="0"/>
              <w:jc w:val="left"/>
            </w:pPr>
            <w:r>
              <w:rPr>
                <w:lang w:val="en-US"/>
              </w:rPr>
              <w:t xml:space="preserve">60 days × £950</w:t>
            </w:r>
          </w:p>
        </w:tc>
        <w:tc>
          <w:tcPr>
            <w:tcW w:w="3008" w:type="dxa"/>
          </w:tcPr>
          <w:p>
            <w:pPr>
              <w:pStyle w:val="TableText"/>
              <w:spacing w:before="0" w:after="0" w:line="240" w:lineRule="auto"/>
              <w:ind w:left="0" w:right="0" w:firstLine="0"/>
              <w:jc w:val="left"/>
            </w:pPr>
            <w:r>
              <w:rPr>
                <w:lang w:val="en-US"/>
              </w:rPr>
              <w:t xml:space="preserve">£57,000</w:t>
            </w:r>
          </w:p>
        </w:tc>
      </w:tr>
      <w:tr>
        <w:trPr>
          <w:cantSplit/>
        </w:trPr>
        <w:tc>
          <w:tcPr>
            <w:tcW w:w="3009" w:type="dxa"/>
          </w:tcPr>
          <w:p>
            <w:pPr>
              <w:pStyle w:val="TableText"/>
              <w:spacing w:before="0" w:after="0" w:line="240" w:lineRule="auto"/>
              <w:ind w:left="0" w:right="0" w:firstLine="0"/>
              <w:jc w:val="left"/>
            </w:pPr>
            <w:r>
              <w:rPr>
                <w:lang w:val="en-US"/>
              </w:rPr>
              <w:t xml:space="preserve">Senior Survey Analyst</w:t>
            </w:r>
          </w:p>
        </w:tc>
        <w:tc>
          <w:tcPr>
            <w:tcW w:w="3009" w:type="dxa"/>
          </w:tcPr>
          <w:p>
            <w:pPr>
              <w:pStyle w:val="TableText"/>
              <w:spacing w:before="0" w:after="0" w:line="240" w:lineRule="auto"/>
              <w:ind w:left="0" w:right="0" w:firstLine="0"/>
              <w:jc w:val="left"/>
            </w:pPr>
            <w:r>
              <w:rPr>
                <w:lang w:val="en-US"/>
              </w:rPr>
              <w:t xml:space="preserve">80 days × £820</w:t>
            </w:r>
          </w:p>
        </w:tc>
        <w:tc>
          <w:tcPr>
            <w:tcW w:w="3008" w:type="dxa"/>
          </w:tcPr>
          <w:p>
            <w:pPr>
              <w:pStyle w:val="TableText"/>
              <w:spacing w:before="0" w:after="0" w:line="240" w:lineRule="auto"/>
              <w:ind w:left="0" w:right="0" w:firstLine="0"/>
              <w:jc w:val="left"/>
            </w:pPr>
            <w:r>
              <w:rPr>
                <w:lang w:val="en-US"/>
              </w:rPr>
              <w:t xml:space="preserve">£65,600</w:t>
            </w:r>
          </w:p>
        </w:tc>
      </w:tr>
      <w:tr>
        <w:trPr>
          <w:cantSplit/>
        </w:trPr>
        <w:tc>
          <w:tcPr>
            <w:tcW w:w="3009" w:type="dxa"/>
          </w:tcPr>
          <w:p>
            <w:pPr>
              <w:pStyle w:val="TableText"/>
              <w:spacing w:before="0" w:after="0" w:line="240" w:lineRule="auto"/>
              <w:ind w:left="0" w:right="0" w:firstLine="0"/>
              <w:jc w:val="left"/>
            </w:pPr>
            <w:r>
              <w:rPr>
                <w:lang w:val="en-US"/>
              </w:rPr>
              <w:t xml:space="preserve">Dashboard Developer</w:t>
            </w:r>
          </w:p>
        </w:tc>
        <w:tc>
          <w:tcPr>
            <w:tcW w:w="3009" w:type="dxa"/>
          </w:tcPr>
          <w:p>
            <w:pPr>
              <w:pStyle w:val="TableText"/>
              <w:spacing w:before="0" w:after="0" w:line="240" w:lineRule="auto"/>
              <w:ind w:left="0" w:right="0" w:firstLine="0"/>
              <w:jc w:val="left"/>
            </w:pPr>
            <w:r>
              <w:rPr>
                <w:lang w:val="en-US"/>
              </w:rPr>
              <w:t xml:space="preserve">104 days × £780</w:t>
            </w:r>
          </w:p>
        </w:tc>
        <w:tc>
          <w:tcPr>
            <w:tcW w:w="3008" w:type="dxa"/>
          </w:tcPr>
          <w:p>
            <w:pPr>
              <w:pStyle w:val="TableText"/>
              <w:spacing w:before="0" w:after="0" w:line="240" w:lineRule="auto"/>
              <w:ind w:left="0" w:right="0" w:firstLine="0"/>
              <w:jc w:val="left"/>
            </w:pPr>
            <w:r>
              <w:rPr>
                <w:lang w:val="en-US"/>
              </w:rPr>
              <w:t xml:space="preserve">£81,120</w:t>
            </w:r>
          </w:p>
        </w:tc>
      </w:tr>
      <w:tr>
        <w:trPr>
          <w:cantSplit/>
        </w:trPr>
        <w:tc>
          <w:tcPr>
            <w:tcW w:w="3009" w:type="dxa"/>
          </w:tcPr>
          <w:p>
            <w:pPr>
              <w:pStyle w:val="TableText"/>
              <w:spacing w:before="0" w:after="0" w:line="240" w:lineRule="auto"/>
              <w:ind w:left="0" w:right="0" w:firstLine="0"/>
              <w:jc w:val="left"/>
            </w:pPr>
            <w:r>
              <w:rPr>
                <w:lang w:val="en-US"/>
              </w:rPr>
              <w:t xml:space="preserve">Hosting and dashboard licence</w:t>
            </w:r>
          </w:p>
        </w:tc>
        <w:tc>
          <w:tcPr>
            <w:tcW w:w="3009" w:type="dxa"/>
          </w:tcPr>
          <w:p>
            <w:pPr>
              <w:pStyle w:val="TableText"/>
              <w:spacing w:before="0" w:after="0" w:line="240" w:lineRule="auto"/>
              <w:ind w:left="0" w:right="0" w:firstLine="0"/>
              <w:jc w:val="left"/>
            </w:pPr>
            <w:r>
              <w:rPr>
                <w:lang w:val="en-US"/>
              </w:rPr>
              <w:t xml:space="preserve">24 months × £1,400</w:t>
            </w:r>
          </w:p>
        </w:tc>
        <w:tc>
          <w:tcPr>
            <w:tcW w:w="3008" w:type="dxa"/>
          </w:tcPr>
          <w:p>
            <w:pPr>
              <w:pStyle w:val="TableText"/>
              <w:spacing w:before="0" w:after="0" w:line="240" w:lineRule="auto"/>
              <w:ind w:left="0" w:right="0" w:firstLine="0"/>
              <w:jc w:val="left"/>
            </w:pPr>
            <w:r>
              <w:rPr>
                <w:lang w:val="en-US"/>
              </w:rPr>
              <w:t xml:space="preserve">£33,600</w:t>
            </w:r>
          </w:p>
        </w:tc>
      </w:tr>
      <w:tr>
        <w:trPr>
          <w:cantSplit/>
        </w:trPr>
        <w:tc>
          <w:tcPr>
            <w:tcW w:w="3009" w:type="dxa"/>
          </w:tcPr>
          <w:p>
            <w:pPr>
              <w:pStyle w:val="TableText"/>
              <w:spacing w:before="0" w:after="0" w:line="240" w:lineRule="auto"/>
              <w:ind w:left="0" w:right="0" w:firstLine="0"/>
              <w:jc w:val="left"/>
            </w:pPr>
            <w:r>
              <w:rPr>
                <w:lang w:val="en-US"/>
              </w:rPr>
              <w:t xml:space="preserve">Survey fielding</w:t>
            </w:r>
          </w:p>
        </w:tc>
        <w:tc>
          <w:tcPr>
            <w:tcW w:w="3009" w:type="dxa"/>
          </w:tcPr>
          <w:p>
            <w:pPr>
              <w:pStyle w:val="TableText"/>
              <w:spacing w:before="0" w:after="0" w:line="240" w:lineRule="auto"/>
              <w:ind w:left="0" w:right="0" w:firstLine="0"/>
              <w:jc w:val="left"/>
            </w:pPr>
            <w:r>
              <w:rPr>
                <w:lang w:val="en-US"/>
              </w:rPr>
              <w:t xml:space="preserve">16 units of 1,000 invitations × £1,900</w:t>
            </w:r>
          </w:p>
        </w:tc>
        <w:tc>
          <w:tcPr>
            <w:tcW w:w="3008" w:type="dxa"/>
          </w:tcPr>
          <w:p>
            <w:pPr>
              <w:pStyle w:val="TableText"/>
              <w:spacing w:before="0" w:after="0" w:line="240" w:lineRule="auto"/>
              <w:ind w:left="0" w:right="0" w:firstLine="0"/>
              <w:jc w:val="left"/>
            </w:pPr>
            <w:r>
              <w:rPr>
                <w:lang w:val="en-US"/>
              </w:rPr>
              <w:t xml:space="preserve">£30,400</w:t>
            </w:r>
          </w:p>
        </w:tc>
      </w:tr>
      <w:tr>
        <w:trPr>
          <w:cantSplit/>
        </w:trPr>
        <w:tc>
          <w:tcPr>
            <w:tcW w:w="3009" w:type="dxa"/>
          </w:tcPr>
          <w:p>
            <w:pPr>
              <w:pStyle w:val="TableText"/>
              <w:spacing w:before="0" w:after="0" w:line="240" w:lineRule="auto"/>
              <w:ind w:left="0" w:right="0" w:firstLine="0"/>
              <w:jc w:val="left"/>
            </w:pPr>
            <w:r>
              <w:rPr>
                <w:lang w:val="en-US"/>
              </w:rPr>
              <w:t xml:space="preserve">Paper comment-card digitisation</w:t>
            </w:r>
          </w:p>
        </w:tc>
        <w:tc>
          <w:tcPr>
            <w:tcW w:w="3009" w:type="dxa"/>
          </w:tcPr>
          <w:p>
            <w:pPr>
              <w:pStyle w:val="TableText"/>
              <w:spacing w:before="0" w:after="0" w:line="240" w:lineRule="auto"/>
              <w:ind w:left="0" w:right="0" w:firstLine="0"/>
              <w:jc w:val="left"/>
            </w:pPr>
            <w:r>
              <w:rPr>
                <w:lang w:val="en-US"/>
              </w:rPr>
              <w:t xml:space="preserve">4,000 cards × £0.85</w:t>
            </w:r>
          </w:p>
        </w:tc>
        <w:tc>
          <w:tcPr>
            <w:tcW w:w="3008" w:type="dxa"/>
          </w:tcPr>
          <w:p>
            <w:pPr>
              <w:pStyle w:val="TableText"/>
              <w:spacing w:before="0" w:after="0" w:line="240" w:lineRule="auto"/>
              <w:ind w:left="0" w:right="0" w:firstLine="0"/>
              <w:jc w:val="left"/>
            </w:pPr>
            <w:r>
              <w:rPr>
                <w:lang w:val="en-US"/>
              </w:rPr>
              <w:t xml:space="preserve">£3,400</w:t>
            </w:r>
          </w:p>
        </w:tc>
      </w:tr>
      <w:tr>
        <w:trPr>
          <w:cantSplit/>
        </w:trPr>
        <w:tc>
          <w:tcPr>
            <w:tcW w:w="3009" w:type="dxa"/>
          </w:tcPr>
          <w:p>
            <w:pPr>
              <w:pStyle w:val="TableText"/>
              <w:spacing w:before="0" w:after="0" w:line="240" w:lineRule="auto"/>
              <w:ind w:left="0" w:right="0" w:firstLine="0"/>
              <w:jc w:val="left"/>
            </w:pPr>
            <w:r>
              <w:rPr>
                <w:b/>
                <w:lang w:val="en-US"/>
              </w:rPr>
              <w:t xml:space="preserve">Total 24-month contract price</w:t>
            </w:r>
          </w:p>
        </w:tc>
        <w:tc>
          <w:tcPr>
            <w:tcW w:w="3009" w:type="dxa"/>
          </w:tcPr>
          <w:p>
            <w:pPr>
              <w:pStyle w:val="TableText"/>
              <w:spacing w:before="0" w:after="0" w:line="240" w:lineRule="auto"/>
              <w:ind w:left="0" w:right="0" w:firstLine="0"/>
              <w:jc w:val="left"/>
            </w:pPr>
            <w:r>
              <w:rPr>
                <w:lang w:val="en-US"/>
              </w:rPr>
              <w:t xml:space="preserve"/>
            </w:r>
          </w:p>
        </w:tc>
        <w:tc>
          <w:tcPr>
            <w:tcW w:w="3008" w:type="dxa"/>
          </w:tcPr>
          <w:p>
            <w:pPr>
              <w:pStyle w:val="TableText"/>
              <w:spacing w:before="0" w:after="0" w:line="240" w:lineRule="auto"/>
              <w:ind w:left="0" w:right="0" w:firstLine="0"/>
              <w:jc w:val="left"/>
            </w:pPr>
            <w:r>
              <w:rPr>
                <w:b/>
                <w:lang w:val="en-US"/>
              </w:rPr>
              <w:t xml:space="preserve">£298,720</w:t>
            </w:r>
          </w:p>
        </w:tc>
      </w:tr>
    </w:tbl>
    <w:p>
      <w:pPr>
        <w:pStyle w:val="Normal"/>
      </w:pPr>
      <w:r>
        <w:rPr>
          <w:lang w:val="en-US"/>
        </w:rPr>
        <w:t xml:space="preserve">The price includes the stated scope and has no hidden fees. Expenses are not charged unless agreed by the Council in writing in advance; agreed travel and out-of-pocket costs are charged at cost. Rates are fixed for the whole contract term, including any extension. Invoices will be issued monthly in arrears and are payable within 30 days.</w:t>
      </w:r>
    </w:p>
    <w:p>
      <w:pPr>
        <w:pStyle w:val="Heading2"/>
        <w:outlineLvl w:val="1"/>
      </w:pPr>
      <w:r>
        <w:rPr>
          <w:lang w:val="en-US"/>
        </w:rPr>
        <w:t xml:space="preserve">Required Forms &amp; Certifications</w:t>
      </w:r>
    </w:p>
    <w:p>
      <w:pPr>
        <w:pStyle w:val="Normal"/>
      </w:pPr>
      <w:r>
        <w:rPr>
          <w:lang w:val="en-US"/>
        </w:rPr>
        <w:t xml:space="preserve">Signed by Imogen Farrow on behalf of Larkfield Analytics Ltd: non-collusion declaration; no gifts or inducements declaration; conflicts-of-interest declaration confirming none; current tax-clearance declaration; and acceptance of the Council's standard terms and conditions with no clarifications. Our modern slavery statement will be made available on request.</w:t>
      </w:r>
    </w:p>
    <w:p>
      <w:pPr>
        <w:pStyle w:val="Heading2"/>
        <w:outlineLvl w:val="1"/>
      </w:pPr>
      <w:r>
        <w:rPr>
          <w:lang w:val="en-US"/>
        </w:rPr>
        <w:t xml:space="preserve">Appendices</w:t>
      </w:r>
    </w:p>
    <w:p>
      <w:pPr>
        <w:pStyle w:val="Normal"/>
      </w:pPr>
      <w:r>
        <w:rPr>
          <w:lang w:val="en-US"/>
        </w:rPr>
        <w:t xml:space="preserve">No separate appendices are included. Supporting material is contained within this response: the requirement compliance matrix, delivery-team details, reference contacts, completed declarations and price schedule. This technical response is prepared to remain within the Council's 15-page limit and the stated approximately 1,950-word overall submission limit.</w:t>
      </w:r>
    </w:p>
    <w:p>
      <w:pPr>
        <w:pStyle w:val="Normal"/>
      </w:pPr>
      <w:r>
        <w:rPr>
          <w:lang w:val="en-US"/>
        </w:rPr>
        <w:t xml:space="preserve">We invite Marlow Borough Council to evaluate this response and, following award, to arrange the two-week discovery phase with Imogen Farrow as the named Engagement Lead.</w:t>
      </w:r>
    </w:p>
    <w:p>
      <w:pPr>
        <w:pStyle w:val="Heading2"/>
        <w:outlineLvl w:val="1"/>
      </w:pPr>
      <w:r>
        <w:rPr>
          <w:lang w:val="en-US"/>
        </w:rPr>
        <w:t xml:space="preserve">References</w:t>
      </w:r>
    </w:p>
    <w:p>
      <w:pPr>
        <w:pStyle w:val="ListParagraph"/>
        <w:numPr>
          <w:ilvl w:val="0"/>
          <w:numId w:val="2"/>
        </w:numPr>
        <w:ind w:left="360" w:hanging="240"/>
      </w:pPr>
      <w:r>
        <w:rPr>
          <w:lang w:val="en-US"/>
        </w:rPr>
        <w:t xml:space="preserve">rfp-marlow-council.md</w:t>
      </w:r>
    </w:p>
    <w:p>
      <w:pPr>
        <w:pStyle w:val="ListParagraph"/>
        <w:numPr>
          <w:ilvl w:val="0"/>
          <w:numId w:val="2"/>
        </w:numPr>
        <w:ind w:left="360" w:hanging="240"/>
      </w:pPr>
      <w:r>
        <w:rPr>
          <w:lang w:val="en-US"/>
        </w:rPr>
        <w:t xml:space="preserve">Company.txt</w:t>
      </w:r>
    </w:p>
    <w:p>
      <w:pPr>
        <w:pStyle w:val="ListParagraph"/>
        <w:numPr>
          <w:ilvl w:val="0"/>
          <w:numId w:val="2"/>
        </w:numPr>
        <w:ind w:left="360" w:hanging="240"/>
      </w:pPr>
      <w:r>
        <w:rPr>
          <w:lang w:val="en-US"/>
        </w:rPr>
        <w:t xml:space="preserve">Services.txt</w:t>
      </w:r>
    </w:p>
    <w:p>
      <w:pPr>
        <w:pStyle w:val="ListParagraph"/>
        <w:numPr>
          <w:ilvl w:val="0"/>
          <w:numId w:val="2"/>
        </w:numPr>
        <w:ind w:left="360" w:hanging="240"/>
      </w:pPr>
      <w:r>
        <w:rPr>
          <w:lang w:val="en-US"/>
        </w:rPr>
        <w:t xml:space="preserve">Delivery team (all invented).txt</w:t>
      </w:r>
    </w:p>
    <w:p>
      <w:pPr>
        <w:pStyle w:val="ListParagraph"/>
        <w:numPr>
          <w:ilvl w:val="0"/>
          <w:numId w:val="2"/>
        </w:numPr>
        <w:ind w:left="360" w:hanging="240"/>
      </w:pPr>
      <w:r>
        <w:rPr>
          <w:lang w:val="en-US"/>
        </w:rPr>
        <w:t xml:space="preserve">Past performance (all invented).txt</w:t>
      </w:r>
    </w:p>
    <w:p>
      <w:pPr>
        <w:pStyle w:val="ListParagraph"/>
        <w:numPr>
          <w:ilvl w:val="0"/>
          <w:numId w:val="2"/>
        </w:numPr>
        <w:ind w:left="360" w:hanging="240"/>
      </w:pPr>
      <w:r>
        <w:rPr>
          <w:lang w:val="en-US"/>
        </w:rPr>
        <w:t xml:space="preserve">Standard rates (invented, excluding VAT).txt</w:t>
      </w:r>
    </w:p>
    <w:p>
      <w:pPr>
        <w:pStyle w:val="ListParagraph"/>
        <w:numPr>
          <w:ilvl w:val="0"/>
          <w:numId w:val="2"/>
        </w:numPr>
        <w:ind w:left="360" w:hanging="240"/>
      </w:pPr>
      <w:r>
        <w:rPr>
          <w:lang w:val="en-US"/>
        </w:rPr>
        <w:t xml:space="preserve">Implementation approach and training.txt</w:t>
      </w:r>
    </w:p>
    <w:p>
      <w:pPr>
        <w:pStyle w:val="ListParagraph"/>
        <w:numPr>
          <w:ilvl w:val="0"/>
          <w:numId w:val="2"/>
        </w:numPr>
        <w:ind w:left="360" w:hanging="240"/>
      </w:pPr>
      <w:r>
        <w:rPr>
          <w:lang w:val="en-US"/>
        </w:rPr>
        <w:t xml:space="preserve">Method and assurance.txt</w:t>
      </w:r>
    </w:p>
    <w:p>
      <w:pPr>
        <w:pStyle w:val="ListParagraph"/>
        <w:numPr>
          <w:ilvl w:val="0"/>
          <w:numId w:val="2"/>
        </w:numPr>
        <w:ind w:left="360" w:hanging="240"/>
      </w:pPr>
      <w:r>
        <w:rPr>
          <w:lang w:val="en-US"/>
        </w:rPr>
        <w:t xml:space="preserve">Forms and declarations (invented).txt</w:t>
      </w:r>
    </w:p>
    <w:sectPr>
      <w:footerReference xmlns:r="http://schemas.openxmlformats.org/officeDocument/2006/relationships" w:type="default" r:id="R39577369b15a49e5"/>
      <w:pgSz w:w="11906" w:h="16838" w:orient="portrait"/>
      <w:pgMar w:top="1440" w:right="1440" w:bottom="1440" w:left="1440" w:header="720" w:footer="720" w:gutter="0"/>
      <w:pgNumType w:fmt="decimal"/>
    </w:sectPr>
  </w:body>
</w:document>
</file>

<file path=word/fontTable.xml><?xml version="1.0" encoding="utf-8"?>
<w:fonts xmlns:w="http://schemas.openxmlformats.org/wordprocessingml/2006/main">
  <w:font w:name="IBM Plex Sans">
    <w:family w:val="swiss"/>
    <w:pitch w:val="variable"/>
  </w:font>
  <w:font w:name="IBM Plex Mono">
    <w:family w:val="modern"/>
    <w:pitch w:val="fixed"/>
  </w:font>
</w:fonts>
</file>

<file path=word/footer1.xml><?xml version="1.0" encoding="utf-8"?>
<w:ftr xmlns:w="http://schemas.openxmlformats.org/wordprocessingml/2006/main">
  <w:p>
    <w:pPr>
      <w:pStyle w:val="Footer"/>
      <w:jc w:val="center"/>
    </w:pPr>
    <w:fldSimple w:instr="PAGE">
      <w:r>
        <w:rPr>
          <w:lang w:val="en-US"/>
        </w:rPr>
        <w:t xml:space="preserve">1</w:t>
      </w:r>
    </w:fldSimple>
    <w:r>
      <w:rPr>
        <w:lang w:val="en-US"/>
      </w:rPr>
      <w:t xml:space="preserve"> / </w:t>
    </w:r>
    <w:fldSimple w:instr="NUMPAGES">
      <w:r>
        <w:rPr>
          <w:lang w:val="en-US"/>
        </w:rPr>
        <w:t xml:space="preserve">1</w:t>
      </w:r>
    </w:fldSimple>
  </w:p>
</w:ftr>
</file>

<file path=word/numbering.xml><?xml version="1.0" encoding="utf-8"?>
<w:numbering xmlns:w="http://schemas.openxmlformats.org/wordprocessingml/2006/main">
  <w:abstractNum w:abstractNumId="1">
    <w:multiLevelType w:val="hybridMultilevel"/>
    <w:lvl w:ilvl="0">
      <w:start w:val="1"/>
      <w:numFmt w:val="bullet"/>
      <w:lvlText w:val="•"/>
      <w:lvlJc w:val="left"/>
      <w:pPr>
        <w:ind w:left="720" w:hanging="360"/>
      </w:pPr>
      <w:rPr>
        <w:color w:val="1A5276"/>
      </w:rPr>
    </w:lvl>
    <w:lvl w:ilvl="1">
      <w:start w:val="1"/>
      <w:numFmt w:val="bullet"/>
      <w:lvlText w:val="◦"/>
      <w:lvlJc w:val="left"/>
      <w:pPr>
        <w:ind w:left="1440" w:hanging="360"/>
      </w:pPr>
      <w:rPr>
        <w:color w:val="52606D"/>
      </w:rPr>
    </w:lvl>
    <w:lvl w:ilvl="2">
      <w:start w:val="1"/>
      <w:numFmt w:val="bullet"/>
      <w:lvlText w:val="▪"/>
      <w:lvlJc w:val="left"/>
      <w:pPr>
        <w:ind w:left="2160" w:hanging="360"/>
      </w:pPr>
      <w:rPr>
        <w:color w:val="52606D"/>
      </w:rPr>
    </w:lvl>
    <w:lvl w:ilvl="3">
      <w:start w:val="1"/>
      <w:numFmt w:val="bullet"/>
      <w:lvlText w:val="•"/>
      <w:lvlJc w:val="left"/>
      <w:pPr>
        <w:ind w:left="2880" w:hanging="360"/>
      </w:pPr>
      <w:rPr>
        <w:color w:val="52606D"/>
      </w:rPr>
    </w:lvl>
    <w:lvl w:ilvl="4">
      <w:start w:val="1"/>
      <w:numFmt w:val="bullet"/>
      <w:lvlText w:val="◦"/>
      <w:lvlJc w:val="left"/>
      <w:pPr>
        <w:ind w:left="3600" w:hanging="360"/>
      </w:pPr>
      <w:rPr>
        <w:color w:val="52606D"/>
      </w:rPr>
    </w:lvl>
    <w:lvl w:ilvl="5">
      <w:start w:val="1"/>
      <w:numFmt w:val="bullet"/>
      <w:lvlText w:val="▪"/>
      <w:lvlJc w:val="left"/>
      <w:pPr>
        <w:ind w:left="4320" w:hanging="360"/>
      </w:pPr>
      <w:rPr>
        <w:color w:val="52606D"/>
      </w:rPr>
    </w:lvl>
    <w:lvl w:ilvl="6">
      <w:start w:val="1"/>
      <w:numFmt w:val="bullet"/>
      <w:lvlText w:val="•"/>
      <w:lvlJc w:val="left"/>
      <w:pPr>
        <w:ind w:left="5040" w:hanging="360"/>
      </w:pPr>
      <w:rPr>
        <w:color w:val="52606D"/>
      </w:rPr>
    </w:lvl>
    <w:lvl w:ilvl="7">
      <w:start w:val="1"/>
      <w:numFmt w:val="bullet"/>
      <w:lvlText w:val="◦"/>
      <w:lvlJc w:val="left"/>
      <w:pPr>
        <w:ind w:left="5760" w:hanging="360"/>
      </w:pPr>
      <w:rPr>
        <w:color w:val="52606D"/>
      </w:rPr>
    </w:lvl>
    <w:lvl w:ilvl="8">
      <w:start w:val="1"/>
      <w:numFmt w:val="bullet"/>
      <w:lvlText w:val="▪"/>
      <w:lvlJc w:val="left"/>
      <w:pPr>
        <w:ind w:left="6480" w:hanging="360"/>
      </w:pPr>
      <w:rPr>
        <w:color w:val="52606D"/>
      </w:rPr>
    </w:lvl>
  </w:abstractNum>
  <w:abstractNum w:abstractNumId="2">
    <w:multiLevelType w:val="hybridMultilevel"/>
    <w:lvl w:ilvl="0">
      <w:start w:val="1"/>
      <w:numFmt w:val="decimal"/>
      <w:lvlText w:val="%1."/>
      <w:lvlJc w:val="left"/>
      <w:pPr>
        <w:ind w:left="720" w:hanging="360"/>
      </w:pPr>
      <w:rPr>
        <w:b/>
        <w:color w:val="1A5276"/>
      </w:rPr>
    </w:lvl>
    <w:lvl w:ilvl="1">
      <w:start w:val="1"/>
      <w:numFmt w:val="decimal"/>
      <w:lvlText w:val="%2."/>
      <w:lvlJc w:val="left"/>
      <w:pPr>
        <w:ind w:left="1440" w:hanging="360"/>
      </w:pPr>
      <w:rPr>
        <w:b/>
        <w:color w:val="1A5276"/>
      </w:rPr>
    </w:lvl>
    <w:lvl w:ilvl="2">
      <w:start w:val="1"/>
      <w:numFmt w:val="decimal"/>
      <w:lvlText w:val="%3."/>
      <w:lvlJc w:val="left"/>
      <w:pPr>
        <w:ind w:left="2160" w:hanging="360"/>
      </w:pPr>
      <w:rPr>
        <w:b/>
        <w:color w:val="1A5276"/>
      </w:rPr>
    </w:lvl>
    <w:lvl w:ilvl="3">
      <w:start w:val="1"/>
      <w:numFmt w:val="decimal"/>
      <w:lvlText w:val="%4."/>
      <w:lvlJc w:val="left"/>
      <w:pPr>
        <w:ind w:left="2880" w:hanging="360"/>
      </w:pPr>
      <w:rPr>
        <w:b/>
        <w:color w:val="1A5276"/>
      </w:rPr>
    </w:lvl>
    <w:lvl w:ilvl="4">
      <w:start w:val="1"/>
      <w:numFmt w:val="decimal"/>
      <w:lvlText w:val="%5."/>
      <w:lvlJc w:val="left"/>
      <w:pPr>
        <w:ind w:left="3600" w:hanging="360"/>
      </w:pPr>
      <w:rPr>
        <w:b/>
        <w:color w:val="1A5276"/>
      </w:rPr>
    </w:lvl>
    <w:lvl w:ilvl="5">
      <w:start w:val="1"/>
      <w:numFmt w:val="decimal"/>
      <w:lvlText w:val="%6."/>
      <w:lvlJc w:val="left"/>
      <w:pPr>
        <w:ind w:left="4320" w:hanging="360"/>
      </w:pPr>
      <w:rPr>
        <w:b/>
        <w:color w:val="1A5276"/>
      </w:rPr>
    </w:lvl>
    <w:lvl w:ilvl="6">
      <w:start w:val="1"/>
      <w:numFmt w:val="decimal"/>
      <w:lvlText w:val="%7."/>
      <w:lvlJc w:val="left"/>
      <w:pPr>
        <w:ind w:left="5040" w:hanging="360"/>
      </w:pPr>
      <w:rPr>
        <w:b/>
        <w:color w:val="1A5276"/>
      </w:rPr>
    </w:lvl>
    <w:lvl w:ilvl="7">
      <w:start w:val="1"/>
      <w:numFmt w:val="decimal"/>
      <w:lvlText w:val="%8."/>
      <w:lvlJc w:val="left"/>
      <w:pPr>
        <w:ind w:left="5760" w:hanging="360"/>
      </w:pPr>
      <w:rPr>
        <w:b/>
        <w:color w:val="1A5276"/>
      </w:rPr>
    </w:lvl>
    <w:lvl w:ilvl="8">
      <w:start w:val="1"/>
      <w:numFmt w:val="decimal"/>
      <w:lvlText w:val="%9."/>
      <w:lvlJc w:val="left"/>
      <w:pPr>
        <w:ind w:left="6480" w:hanging="360"/>
      </w:pPr>
      <w:rPr>
        <w:b/>
        <w:color w:val="1A5276"/>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http://schemas.openxmlformats.org/wordprocessingml/2006/main">
  <w:autoHyphenation w:val="true"/>
  <w:docVars>
    <w:docVar w:name="CoverComposition" w:val="letterhead"/>
  </w:docVars>
</w:settings>
</file>

<file path=word/styles.xml><?xml version="1.0" encoding="utf-8"?>
<w:styles xmlns:w="http://schemas.openxmlformats.org/wordprocessingml/2006/main">
  <w:docDefaults>
    <w:rPrDefault>
      <w:rPr>
        <w:rFonts w:ascii="IBM Plex Sans" w:hAnsi="IBM Plex Sans" w:eastAsia="IBM Plex Sans" w:cs="IBM Plex Sans"/>
        <w:color w:val="1B2631"/>
        <w:sz w:val="19"/>
        <w:szCs w:val="19"/>
        <w:lang w:val="en-US"/>
      </w:rPr>
    </w:rPrDefault>
    <w:pPrDefault>
      <w:pPr>
        <w:widowControl/>
        <w:spacing w:after="0" w:line="240" w:lineRule="auto"/>
      </w:pPr>
    </w:pPrDefault>
  </w:docDefaults>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paragraph" w:styleId="Normal" w:default="true">
    <w:name w:val="Normal"/>
    <w:qFormat/>
    <w:pPr>
      <w:spacing w:before="0" w:after="114" w:line="281" w:lineRule="atLeast"/>
      <w:ind w:left="0" w:right="0" w:firstLine="0"/>
      <w:jc w:val="both"/>
    </w:pPr>
    <w:rPr>
      <w:rFonts w:ascii="IBM Plex Sans" w:hAnsi="IBM Plex Sans"/>
      <w:b w:val="false"/>
      <w:bCs w:val="false"/>
      <w:i w:val="false"/>
      <w:iCs w:val="false"/>
      <w:caps w:val="false"/>
      <w:color w:val="1B2631"/>
      <w:sz w:val="19"/>
      <w:szCs w:val="19"/>
    </w:rPr>
  </w:style>
  <w:style w:type="paragraph" w:styleId="ListParagraph">
    <w:name w:val="List Paragraph"/>
    <w:basedOn w:val="Normal"/>
    <w:qFormat/>
    <w:pPr>
      <w:spacing w:before="0" w:after="57" w:line="281" w:lineRule="atLeast"/>
      <w:ind w:left="0" w:right="0" w:firstLine="0"/>
      <w:jc w:val="both"/>
    </w:pPr>
    <w:rPr>
      <w:rFonts w:ascii="IBM Plex Sans" w:hAnsi="IBM Plex Sans"/>
      <w:b w:val="false"/>
      <w:bCs w:val="false"/>
      <w:i w:val="false"/>
      <w:iCs w:val="false"/>
      <w:caps w:val="false"/>
      <w:color w:val="1B2631"/>
      <w:sz w:val="19"/>
      <w:szCs w:val="19"/>
    </w:rPr>
  </w:style>
  <w:style w:type="paragraph" w:styleId="Heading1">
    <w:name w:val="Heading 1"/>
    <w:basedOn w:val="Normal"/>
    <w:next w:val="Normal"/>
    <w:qFormat/>
    <w:pPr>
      <w:keepNext/>
      <w:keepLines/>
      <w:pageBreakBefore w:val="true"/>
      <w:suppressAutoHyphens/>
      <w:spacing w:before="0" w:after="187" w:line="390" w:lineRule="atLeast"/>
      <w:ind w:left="0" w:right="0" w:firstLine="0"/>
      <w:jc w:val="left"/>
      <w:outlineLvl w:val="0"/>
    </w:pPr>
    <w:rPr>
      <w:rFonts w:ascii="IBM Plex Sans" w:hAnsi="IBM Plex Sans"/>
      <w:b w:val="true"/>
      <w:bCs w:val="true"/>
      <w:i w:val="false"/>
      <w:iCs w:val="false"/>
      <w:caps w:val="false"/>
      <w:color w:val="154360"/>
      <w:sz w:val="31"/>
      <w:szCs w:val="31"/>
    </w:rPr>
  </w:style>
  <w:style w:type="paragraph" w:styleId="Heading2">
    <w:name w:val="Heading 2"/>
    <w:basedOn w:val="Normal"/>
    <w:next w:val="Normal"/>
    <w:qFormat/>
    <w:pPr>
      <w:keepNext/>
      <w:keepLines/>
      <w:pageBreakBefore w:val="false"/>
      <w:pBdr>
        <w:top w:val="single" w:color="E3E9EF" w:sz="2" w:space="4"/>
        <w:left w:val="single" w:color="1A5276" w:sz="24" w:space="7"/>
        <w:bottom w:val="single" w:color="E3E9EF" w:sz="2" w:space="4"/>
        <w:right w:val="single" w:color="E3E9EF" w:sz="2" w:space="7"/>
      </w:pBdr>
      <w:shd w:val="clear" w:color="auto" w:fill="E3E9EF"/>
      <w:suppressAutoHyphens/>
      <w:spacing w:before="309" w:after="146" w:line="331" w:lineRule="atLeast"/>
      <w:ind w:left="192" w:right="137" w:firstLine="0"/>
      <w:jc w:val="left"/>
      <w:outlineLvl w:val="1"/>
    </w:pPr>
    <w:rPr>
      <w:rFonts w:ascii="IBM Plex Sans" w:hAnsi="IBM Plex Sans"/>
      <w:b w:val="true"/>
      <w:bCs w:val="true"/>
      <w:i w:val="false"/>
      <w:iCs w:val="false"/>
      <w:caps w:val="false"/>
      <w:color w:val="154360"/>
      <w:sz w:val="26"/>
      <w:szCs w:val="26"/>
    </w:rPr>
  </w:style>
  <w:style w:type="paragraph" w:styleId="Heading3">
    <w:name w:val="Heading 3"/>
    <w:basedOn w:val="Normal"/>
    <w:next w:val="Normal"/>
    <w:qFormat/>
    <w:pPr>
      <w:keepNext/>
      <w:keepLines/>
      <w:pageBreakBefore w:val="false"/>
      <w:suppressAutoHyphens/>
      <w:spacing w:before="144" w:after="101" w:line="280" w:lineRule="atLeast"/>
      <w:ind w:left="0" w:right="0" w:firstLine="0"/>
      <w:jc w:val="left"/>
      <w:outlineLvl w:val="2"/>
    </w:pPr>
    <w:rPr>
      <w:rFonts w:ascii="IBM Plex Sans" w:hAnsi="IBM Plex Sans"/>
      <w:b w:val="true"/>
      <w:bCs w:val="true"/>
      <w:i w:val="false"/>
      <w:iCs w:val="false"/>
      <w:caps w:val="false"/>
      <w:color w:val="154360"/>
      <w:sz w:val="22"/>
      <w:szCs w:val="22"/>
    </w:rPr>
  </w:style>
  <w:style w:type="paragraph" w:styleId="Heading4">
    <w:name w:val="Heading 4"/>
    <w:basedOn w:val="Normal"/>
    <w:next w:val="Normal"/>
    <w:qFormat/>
    <w:pPr>
      <w:keepNext/>
      <w:keepLines/>
      <w:pageBreakBefore w:val="false"/>
      <w:suppressAutoHyphens/>
      <w:spacing w:before="90" w:after="74" w:line="266" w:lineRule="atLeast"/>
      <w:ind w:left="0" w:right="0" w:firstLine="0"/>
      <w:jc w:val="left"/>
      <w:outlineLvl w:val="3"/>
    </w:pPr>
    <w:rPr>
      <w:rFonts w:ascii="IBM Plex Sans" w:hAnsi="IBM Plex Sans"/>
      <w:b w:val="true"/>
      <w:bCs w:val="true"/>
      <w:i w:val="false"/>
      <w:iCs w:val="false"/>
      <w:caps w:val="false"/>
      <w:color w:val="154360"/>
      <w:sz w:val="21"/>
      <w:szCs w:val="21"/>
    </w:rPr>
  </w:style>
  <w:style w:type="paragraph" w:styleId="Heading5">
    <w:name w:val="Heading 5"/>
    <w:basedOn w:val="Normal"/>
    <w:next w:val="Normal"/>
    <w:qFormat/>
    <w:pPr>
      <w:keepNext/>
      <w:keepLines/>
      <w:pageBreakBefore w:val="false"/>
      <w:suppressAutoHyphens/>
      <w:spacing w:before="89" w:after="59" w:line="211" w:lineRule="atLeast"/>
      <w:ind w:left="0" w:right="0" w:firstLine="0"/>
      <w:jc w:val="left"/>
      <w:outlineLvl w:val="4"/>
    </w:pPr>
    <w:rPr>
      <w:rFonts w:ascii="IBM Plex Sans" w:hAnsi="IBM Plex Sans"/>
      <w:b w:val="true"/>
      <w:bCs w:val="true"/>
      <w:i w:val="false"/>
      <w:iCs w:val="false"/>
      <w:caps w:val="true"/>
      <w:color w:val="154360"/>
      <w:spacing w:val="8"/>
      <w:sz w:val="17"/>
      <w:szCs w:val="17"/>
    </w:rPr>
  </w:style>
  <w:style w:type="paragraph" w:styleId="Heading6">
    <w:name w:val="Heading 6"/>
    <w:basedOn w:val="Normal"/>
    <w:next w:val="Normal"/>
    <w:qFormat/>
    <w:pPr>
      <w:keepNext/>
      <w:keepLines/>
      <w:pageBreakBefore w:val="false"/>
      <w:suppressAutoHyphens/>
      <w:spacing w:before="89" w:after="59" w:line="211" w:lineRule="atLeast"/>
      <w:ind w:left="0" w:right="0" w:firstLine="0"/>
      <w:jc w:val="left"/>
      <w:outlineLvl w:val="5"/>
    </w:pPr>
    <w:rPr>
      <w:rFonts w:ascii="IBM Plex Sans" w:hAnsi="IBM Plex Sans"/>
      <w:b w:val="true"/>
      <w:bCs w:val="true"/>
      <w:i w:val="false"/>
      <w:iCs w:val="false"/>
      <w:caps w:val="true"/>
      <w:color w:val="154360"/>
      <w:spacing w:val="8"/>
      <w:sz w:val="17"/>
      <w:szCs w:val="17"/>
    </w:rPr>
  </w:style>
  <w:style w:type="paragraph" w:styleId="DocumentTitle" w:customStyle="true">
    <w:name w:val="Document Title"/>
    <w:basedOn w:val="Normal"/>
    <w:next w:val="Normal"/>
    <w:qFormat/>
    <w:pPr>
      <w:keepNext/>
      <w:keepLines/>
      <w:suppressAutoHyphens/>
      <w:spacing w:before="0" w:after="472" w:line="398" w:lineRule="atLeast"/>
      <w:ind w:left="0" w:right="0" w:firstLine="0"/>
      <w:jc w:val="left"/>
      <w:outlineLvl w:val="0"/>
    </w:pPr>
    <w:rPr>
      <w:rFonts w:ascii="IBM Plex Sans" w:hAnsi="IBM Plex Sans"/>
      <w:b w:val="true"/>
      <w:bCs w:val="true"/>
      <w:i w:val="false"/>
      <w:iCs w:val="false"/>
      <w:caps w:val="false"/>
      <w:color w:val="154360"/>
      <w:spacing w:val="-4"/>
      <w:sz w:val="37"/>
      <w:szCs w:val="37"/>
    </w:rPr>
  </w:style>
  <w:style w:type="paragraph" w:styleId="TOCHeading">
    <w:name w:val="TOC Heading"/>
    <w:basedOn w:val="Normal"/>
    <w:qFormat/>
    <w:pPr>
      <w:keepNext/>
      <w:keepLines/>
      <w:pBdr>
        <w:top w:val="single" w:color="E3E9EF" w:sz="2" w:space="4"/>
        <w:left w:val="single" w:color="1A5276" w:sz="24" w:space="7"/>
        <w:bottom w:val="single" w:color="E3E9EF" w:sz="2" w:space="4"/>
        <w:right w:val="single" w:color="E3E9EF" w:sz="2" w:space="7"/>
      </w:pBdr>
      <w:shd w:val="clear" w:color="auto" w:fill="E3E9EF"/>
      <w:suppressAutoHyphens/>
      <w:spacing w:before="0" w:after="291" w:line="331" w:lineRule="atLeast"/>
      <w:ind w:left="192" w:right="137" w:firstLine="0"/>
      <w:jc w:val="left"/>
    </w:pPr>
    <w:rPr>
      <w:rFonts w:ascii="IBM Plex Sans" w:hAnsi="IBM Plex Sans"/>
      <w:b w:val="true"/>
      <w:bCs w:val="true"/>
      <w:i w:val="false"/>
      <w:iCs w:val="false"/>
      <w:caps w:val="false"/>
      <w:color w:val="154360"/>
      <w:sz w:val="26"/>
      <w:szCs w:val="26"/>
    </w:rPr>
  </w:style>
  <w:style w:type="paragraph" w:styleId="TOC1">
    <w:name w:val="TOC 1"/>
    <w:basedOn w:val="Normal"/>
    <w:qFormat/>
    <w:pPr>
      <w:keepLines/>
      <w:pBdr>
        <w:bottom w:val="single" w:color="B9C3CC" w:sz="6" w:space="5"/>
        <w:between w:val="single" w:color="B9C3CC" w:sz="6" w:space="5"/>
      </w:pBdr>
      <w:suppressAutoHyphens/>
      <w:spacing w:before="95" w:after="0" w:line="257" w:lineRule="atLeast"/>
      <w:ind w:left="0" w:right="0" w:firstLine="0"/>
      <w:jc w:val="left"/>
    </w:pPr>
    <w:rPr>
      <w:rFonts w:ascii="IBM Plex Sans" w:hAnsi="IBM Plex Sans"/>
      <w:b w:val="true"/>
      <w:bCs w:val="true"/>
      <w:i w:val="false"/>
      <w:iCs w:val="false"/>
      <w:caps w:val="false"/>
      <w:color w:val="154360"/>
      <w:sz w:val="19"/>
      <w:szCs w:val="19"/>
    </w:rPr>
  </w:style>
  <w:style w:type="paragraph" w:styleId="TOC2">
    <w:name w:val="TOC 2"/>
    <w:basedOn w:val="Normal"/>
    <w:qFormat/>
    <w:pPr>
      <w:keepLines/>
      <w:pBdr>
        <w:bottom w:val="single" w:color="B9C3CC" w:sz="6" w:space="5"/>
        <w:between w:val="single" w:color="B9C3CC" w:sz="6" w:space="5"/>
      </w:pBdr>
      <w:suppressAutoHyphens/>
      <w:spacing w:before="95" w:after="0" w:line="257" w:lineRule="atLeast"/>
      <w:ind w:left="228" w:right="0" w:firstLine="0"/>
      <w:jc w:val="left"/>
    </w:pPr>
    <w:rPr>
      <w:rFonts w:ascii="IBM Plex Sans" w:hAnsi="IBM Plex Sans"/>
      <w:b w:val="false"/>
      <w:bCs w:val="false"/>
      <w:i w:val="false"/>
      <w:iCs w:val="false"/>
      <w:caps w:val="false"/>
      <w:color w:val="1B2631"/>
      <w:sz w:val="19"/>
      <w:szCs w:val="19"/>
    </w:rPr>
  </w:style>
  <w:style w:type="paragraph" w:styleId="TOC3">
    <w:name w:val="TOC 3"/>
    <w:basedOn w:val="Normal"/>
    <w:qFormat/>
    <w:pPr>
      <w:keepLines/>
      <w:pBdr>
        <w:bottom w:val="single" w:color="B9C3CC" w:sz="6" w:space="5"/>
        <w:between w:val="single" w:color="B9C3CC" w:sz="6" w:space="5"/>
      </w:pBdr>
      <w:suppressAutoHyphens/>
      <w:spacing w:before="95" w:after="0" w:line="228" w:lineRule="atLeast"/>
      <w:ind w:left="456" w:right="0" w:firstLine="0"/>
      <w:jc w:val="left"/>
    </w:pPr>
    <w:rPr>
      <w:rFonts w:ascii="IBM Plex Sans" w:hAnsi="IBM Plex Sans"/>
      <w:b w:val="false"/>
      <w:bCs w:val="false"/>
      <w:i w:val="false"/>
      <w:iCs w:val="false"/>
      <w:caps w:val="false"/>
      <w:color w:val="52606D"/>
      <w:sz w:val="17"/>
      <w:szCs w:val="17"/>
    </w:rPr>
  </w:style>
  <w:style w:type="paragraph" w:styleId="Caption">
    <w:name w:val="Caption"/>
    <w:basedOn w:val="Normal"/>
    <w:qFormat/>
    <w:pPr>
      <w:suppressAutoHyphens/>
      <w:spacing w:before="93" w:after="114" w:line="237" w:lineRule="atLeast"/>
      <w:ind w:left="0" w:right="0" w:firstLine="0"/>
      <w:jc w:val="center"/>
    </w:pPr>
    <w:rPr>
      <w:rFonts w:ascii="IBM Plex Sans" w:hAnsi="IBM Plex Sans"/>
      <w:b w:val="false"/>
      <w:bCs w:val="false"/>
      <w:i w:val="false"/>
      <w:iCs w:val="false"/>
      <w:caps w:val="false"/>
      <w:color w:val="52606D"/>
      <w:sz w:val="17"/>
      <w:szCs w:val="17"/>
    </w:rPr>
  </w:style>
  <w:style w:type="paragraph" w:styleId="Attribution" w:customStyle="true">
    <w:name w:val="Attribution"/>
    <w:basedOn w:val="Normal"/>
    <w:qFormat/>
    <w:pPr>
      <w:spacing w:before="0" w:after="114" w:line="220" w:lineRule="atLeast"/>
      <w:ind w:left="0" w:right="0" w:firstLine="0"/>
      <w:jc w:val="center"/>
    </w:pPr>
    <w:rPr>
      <w:rFonts w:ascii="IBM Plex Sans" w:hAnsi="IBM Plex Sans"/>
      <w:b w:val="false"/>
      <w:bCs w:val="false"/>
      <w:i w:val="true"/>
      <w:iCs w:val="true"/>
      <w:caps w:val="false"/>
      <w:color w:val="52606D"/>
      <w:sz w:val="17"/>
      <w:szCs w:val="17"/>
    </w:rPr>
  </w:style>
  <w:style w:type="paragraph" w:styleId="Quote">
    <w:name w:val="Quote"/>
    <w:basedOn w:val="Normal"/>
    <w:qFormat/>
    <w:pPr>
      <w:spacing w:before="190" w:after="114" w:line="281" w:lineRule="atLeast"/>
      <w:ind w:left="304" w:right="304" w:firstLine="0"/>
      <w:jc w:val="both"/>
    </w:pPr>
    <w:rPr>
      <w:rFonts w:ascii="IBM Plex Sans" w:hAnsi="IBM Plex Sans"/>
      <w:b w:val="false"/>
      <w:bCs w:val="false"/>
      <w:i w:val="true"/>
      <w:iCs w:val="true"/>
      <w:caps w:val="false"/>
      <w:color w:val="34495E"/>
      <w:sz w:val="19"/>
      <w:szCs w:val="19"/>
    </w:rPr>
  </w:style>
  <w:style w:type="paragraph" w:styleId="QuoteSource" w:customStyle="true">
    <w:name w:val="Quote Source"/>
    <w:basedOn w:val="Normal"/>
    <w:qFormat/>
    <w:pPr>
      <w:spacing w:before="190" w:after="114" w:line="281" w:lineRule="atLeast"/>
      <w:ind w:left="304" w:right="304" w:firstLine="0"/>
      <w:jc w:val="both"/>
    </w:pPr>
    <w:rPr>
      <w:rFonts w:ascii="IBM Plex Sans" w:hAnsi="IBM Plex Sans"/>
      <w:b w:val="false"/>
      <w:bCs w:val="false"/>
      <w:i w:val="false"/>
      <w:iCs w:val="false"/>
      <w:caps w:val="false"/>
      <w:color w:val="34495E"/>
      <w:sz w:val="17"/>
      <w:szCs w:val="17"/>
    </w:rPr>
  </w:style>
  <w:style w:type="paragraph" w:styleId="PullQuote" w:customStyle="true">
    <w:name w:val="Pull Quote"/>
    <w:basedOn w:val="Normal"/>
    <w:qFormat/>
    <w:pPr>
      <w:keepLines/>
      <w:pBdr>
        <w:top w:val="single" w:color="1A5276" w:sz="11" w:space="7"/>
        <w:bottom w:val="single" w:color="B9C3CC" w:sz="6" w:space="7"/>
      </w:pBdr>
      <w:spacing w:before="266" w:after="266" w:line="291" w:lineRule="atLeast"/>
      <w:ind w:left="0" w:right="0" w:firstLine="0"/>
      <w:jc w:val="left"/>
    </w:pPr>
    <w:rPr>
      <w:rFonts w:ascii="IBM Plex Sans" w:hAnsi="IBM Plex Sans"/>
      <w:b w:val="false"/>
      <w:bCs w:val="false"/>
      <w:i w:val="false"/>
      <w:iCs w:val="false"/>
      <w:caps w:val="false"/>
      <w:color w:val="154360"/>
      <w:sz w:val="22"/>
      <w:szCs w:val="22"/>
    </w:rPr>
  </w:style>
  <w:style w:type="paragraph" w:styleId="Callout" w:customStyle="true">
    <w:name w:val="Callout"/>
    <w:basedOn w:val="Normal"/>
    <w:qFormat/>
    <w:pPr>
      <w:pBdr>
        <w:top w:val="single" w:color="1A5276" w:sz="24" w:space="8"/>
        <w:left w:val="single" w:color="B9C3CC" w:sz="6" w:space="10"/>
        <w:bottom w:val="single" w:color="B9C3CC" w:sz="6" w:space="8"/>
        <w:right w:val="single" w:color="B9C3CC" w:sz="6" w:space="10"/>
      </w:pBdr>
      <w:shd w:val="clear" w:color="auto" w:fill="F7F9FB"/>
      <w:spacing w:before="190" w:after="114" w:line="281" w:lineRule="atLeast"/>
      <w:ind w:left="214" w:right="214" w:firstLine="0"/>
      <w:jc w:val="left"/>
    </w:pPr>
    <w:rPr>
      <w:rFonts w:ascii="IBM Plex Sans" w:hAnsi="IBM Plex Sans"/>
      <w:b w:val="false"/>
      <w:bCs w:val="false"/>
      <w:i w:val="false"/>
      <w:iCs w:val="false"/>
      <w:caps w:val="false"/>
      <w:color w:val="1B2631"/>
      <w:sz w:val="19"/>
      <w:szCs w:val="19"/>
    </w:rPr>
  </w:style>
  <w:style w:type="paragraph" w:styleId="CalloutTip" w:customStyle="true">
    <w:name w:val="Callout Tip"/>
    <w:basedOn w:val="Normal"/>
    <w:qFormat/>
    <w:pPr>
      <w:pBdr>
        <w:top w:val="single" w:color="146C43" w:sz="24" w:space="8"/>
        <w:left w:val="single" w:color="B9C3CC" w:sz="6" w:space="10"/>
        <w:bottom w:val="single" w:color="B9C3CC" w:sz="6" w:space="8"/>
        <w:right w:val="single" w:color="B9C3CC" w:sz="6" w:space="10"/>
      </w:pBdr>
      <w:shd w:val="clear" w:color="auto" w:fill="F7F9FB"/>
      <w:spacing w:before="190" w:after="114" w:line="281" w:lineRule="atLeast"/>
      <w:ind w:left="214" w:right="214" w:firstLine="0"/>
      <w:jc w:val="left"/>
    </w:pPr>
    <w:rPr>
      <w:rFonts w:ascii="IBM Plex Sans" w:hAnsi="IBM Plex Sans"/>
      <w:b w:val="false"/>
      <w:bCs w:val="false"/>
      <w:i w:val="false"/>
      <w:iCs w:val="false"/>
      <w:caps w:val="false"/>
      <w:color w:val="1B2631"/>
      <w:sz w:val="19"/>
      <w:szCs w:val="19"/>
    </w:rPr>
  </w:style>
  <w:style w:type="paragraph" w:styleId="CalloutWarning" w:customStyle="true">
    <w:name w:val="Callout Warning"/>
    <w:basedOn w:val="Normal"/>
    <w:qFormat/>
    <w:pPr>
      <w:pBdr>
        <w:top w:val="single" w:color="8A5300" w:sz="24" w:space="8"/>
        <w:left w:val="single" w:color="B9C3CC" w:sz="6" w:space="10"/>
        <w:bottom w:val="single" w:color="B9C3CC" w:sz="6" w:space="8"/>
        <w:right w:val="single" w:color="B9C3CC" w:sz="6" w:space="10"/>
      </w:pBdr>
      <w:shd w:val="clear" w:color="auto" w:fill="F7F9FB"/>
      <w:spacing w:before="190" w:after="114" w:line="281" w:lineRule="atLeast"/>
      <w:ind w:left="214" w:right="214" w:firstLine="0"/>
      <w:jc w:val="left"/>
    </w:pPr>
    <w:rPr>
      <w:rFonts w:ascii="IBM Plex Sans" w:hAnsi="IBM Plex Sans"/>
      <w:b w:val="false"/>
      <w:bCs w:val="false"/>
      <w:i w:val="false"/>
      <w:iCs w:val="false"/>
      <w:caps w:val="false"/>
      <w:color w:val="1B2631"/>
      <w:sz w:val="19"/>
      <w:szCs w:val="19"/>
    </w:rPr>
  </w:style>
  <w:style w:type="paragraph" w:styleId="CalloutNote" w:customStyle="true">
    <w:name w:val="Callout Note"/>
    <w:basedOn w:val="Normal"/>
    <w:qFormat/>
    <w:pPr>
      <w:pBdr>
        <w:top w:val="single" w:color="1A5276" w:sz="24" w:space="8"/>
        <w:left w:val="single" w:color="B9C3CC" w:sz="6" w:space="10"/>
        <w:bottom w:val="single" w:color="B9C3CC" w:sz="6" w:space="8"/>
        <w:right w:val="single" w:color="B9C3CC" w:sz="6" w:space="10"/>
      </w:pBdr>
      <w:shd w:val="clear" w:color="auto" w:fill="F7F9FB"/>
      <w:spacing w:before="190" w:after="114" w:line="281" w:lineRule="atLeast"/>
      <w:ind w:left="214" w:right="214" w:firstLine="0"/>
      <w:jc w:val="left"/>
    </w:pPr>
    <w:rPr>
      <w:rFonts w:ascii="IBM Plex Sans" w:hAnsi="IBM Plex Sans"/>
      <w:b w:val="false"/>
      <w:bCs w:val="false"/>
      <w:i w:val="false"/>
      <w:iCs w:val="false"/>
      <w:caps w:val="false"/>
      <w:color w:val="1B2631"/>
      <w:sz w:val="19"/>
      <w:szCs w:val="19"/>
    </w:rPr>
  </w:style>
  <w:style w:type="paragraph" w:styleId="Panel" w:customStyle="true">
    <w:name w:val="Panel"/>
    <w:basedOn w:val="Normal"/>
    <w:qFormat/>
    <w:pPr>
      <w:pBdr>
        <w:top w:val="single" w:color="F4F6F8" w:sz="2" w:space="8"/>
        <w:left w:val="single" w:color="1A5276" w:sz="24" w:space="10"/>
        <w:bottom w:val="single" w:color="F4F6F8" w:sz="2" w:space="8"/>
        <w:right w:val="single" w:color="F4F6F8" w:sz="2" w:space="10"/>
      </w:pBdr>
      <w:shd w:val="clear" w:color="auto" w:fill="F4F6F8"/>
      <w:spacing w:before="190" w:after="114" w:line="281" w:lineRule="atLeast"/>
      <w:ind w:left="260" w:right="204" w:firstLine="0"/>
      <w:jc w:val="left"/>
    </w:pPr>
    <w:rPr>
      <w:rFonts w:ascii="IBM Plex Sans" w:hAnsi="IBM Plex Sans"/>
      <w:b w:val="false"/>
      <w:bCs w:val="false"/>
      <w:i w:val="false"/>
      <w:iCs w:val="false"/>
      <w:caps w:val="false"/>
      <w:color w:val="1B2631"/>
      <w:sz w:val="19"/>
      <w:szCs w:val="19"/>
    </w:rPr>
  </w:style>
  <w:style w:type="paragraph" w:styleId="PanelTop" w:customStyle="true">
    <w:name w:val="Panel Top"/>
    <w:basedOn w:val="Normal"/>
    <w:qFormat/>
    <w:pPr>
      <w:pBdr>
        <w:top w:val="single" w:color="1A5276" w:sz="24" w:space="8"/>
        <w:left w:val="single" w:color="F4F6F8" w:sz="2" w:space="10"/>
        <w:bottom w:val="single" w:color="F4F6F8" w:sz="2" w:space="8"/>
        <w:right w:val="single" w:color="F4F6F8" w:sz="2" w:space="10"/>
      </w:pBdr>
      <w:shd w:val="clear" w:color="auto" w:fill="F4F6F8"/>
      <w:spacing w:before="190" w:after="114" w:line="281" w:lineRule="atLeast"/>
      <w:ind w:left="204" w:right="204" w:firstLine="0"/>
      <w:jc w:val="left"/>
    </w:pPr>
    <w:rPr>
      <w:rFonts w:ascii="IBM Plex Sans" w:hAnsi="IBM Plex Sans"/>
      <w:b w:val="false"/>
      <w:bCs w:val="false"/>
      <w:i w:val="false"/>
      <w:iCs w:val="false"/>
      <w:caps w:val="false"/>
      <w:color w:val="1B2631"/>
      <w:sz w:val="19"/>
      <w:szCs w:val="19"/>
    </w:rPr>
  </w:style>
  <w:style w:type="paragraph" w:styleId="Code" w:customStyle="true">
    <w:name w:val="Code"/>
    <w:basedOn w:val="Normal"/>
    <w:qFormat/>
    <w:pPr>
      <w:pBdr>
        <w:top w:val="single" w:color="B9C3CC" w:sz="6" w:space="7"/>
        <w:left w:val="single" w:color="B9C3CC" w:sz="6" w:space="8"/>
        <w:bottom w:val="single" w:color="B9C3CC" w:sz="6" w:space="7"/>
        <w:right w:val="single" w:color="B9C3CC" w:sz="6" w:space="8"/>
      </w:pBdr>
      <w:shd w:val="clear" w:color="auto" w:fill="F4F6F8"/>
      <w:suppressAutoHyphens/>
      <w:spacing w:before="169" w:after="169" w:line="254" w:lineRule="atLeast"/>
      <w:ind w:left="184" w:right="184" w:firstLine="0"/>
      <w:contextualSpacing/>
      <w:jc w:val="left"/>
    </w:pPr>
    <w:rPr>
      <w:rFonts w:ascii="IBM Plex Mono" w:hAnsi="IBM Plex Mono"/>
      <w:b w:val="false"/>
      <w:bCs w:val="false"/>
      <w:i w:val="false"/>
      <w:iCs w:val="false"/>
      <w:caps w:val="false"/>
      <w:color w:val="1B2631"/>
      <w:sz w:val="17"/>
      <w:szCs w:val="17"/>
    </w:rPr>
  </w:style>
  <w:style w:type="paragraph" w:styleId="TableText" w:customStyle="true">
    <w:name w:val="Table Text"/>
    <w:basedOn w:val="Normal"/>
    <w:qFormat/>
    <w:pPr>
      <w:spacing w:before="0" w:after="0" w:line="240" w:lineRule="atLeast"/>
      <w:ind w:left="0" w:right="0" w:firstLine="0"/>
      <w:jc w:val="left"/>
    </w:pPr>
    <w:rPr>
      <w:rFonts w:ascii="IBM Plex Sans" w:hAnsi="IBM Plex Sans"/>
      <w:b w:val="false"/>
      <w:bCs w:val="false"/>
      <w:i w:val="false"/>
      <w:iCs w:val="false"/>
      <w:caps w:val="false"/>
      <w:color w:val="1B2631"/>
      <w:sz w:val="17"/>
      <w:szCs w:val="17"/>
    </w:rPr>
  </w:style>
  <w:style w:type="paragraph" w:styleId="TableHeading" w:customStyle="true">
    <w:name w:val="Table Heading"/>
    <w:basedOn w:val="Normal"/>
    <w:qFormat/>
    <w:pPr>
      <w:suppressAutoHyphens/>
      <w:spacing w:before="0" w:after="0" w:line="240" w:lineRule="atLeast"/>
      <w:ind w:left="0" w:right="0" w:firstLine="0"/>
      <w:jc w:val="left"/>
    </w:pPr>
    <w:rPr>
      <w:rFonts w:ascii="IBM Plex Sans" w:hAnsi="IBM Plex Sans"/>
      <w:b w:val="true"/>
      <w:bCs w:val="true"/>
      <w:i w:val="false"/>
      <w:iCs w:val="false"/>
      <w:caps w:val="false"/>
      <w:color w:val="1B2631"/>
      <w:sz w:val="17"/>
      <w:szCs w:val="17"/>
    </w:rPr>
  </w:style>
  <w:style w:type="paragraph" w:styleId="TableRowHeading" w:customStyle="true">
    <w:name w:val="Table Row Heading"/>
    <w:basedOn w:val="Normal"/>
    <w:qFormat/>
    <w:pPr>
      <w:suppressAutoHyphens/>
      <w:spacing w:before="0" w:after="0" w:line="240" w:lineRule="atLeast"/>
      <w:ind w:left="0" w:right="0" w:firstLine="0"/>
      <w:jc w:val="left"/>
    </w:pPr>
    <w:rPr>
      <w:rFonts w:ascii="IBM Plex Sans" w:hAnsi="IBM Plex Sans"/>
      <w:b w:val="true"/>
      <w:bCs w:val="true"/>
      <w:i w:val="false"/>
      <w:iCs w:val="false"/>
      <w:caps w:val="false"/>
      <w:color w:val="1B2631"/>
      <w:sz w:val="17"/>
      <w:szCs w:val="17"/>
    </w:rPr>
  </w:style>
  <w:style w:type="paragraph" w:styleId="Divider" w:customStyle="true">
    <w:name w:val="Divider"/>
    <w:basedOn w:val="Normal"/>
    <w:qFormat/>
    <w:pPr>
      <w:pBdr>
        <w:bottom w:val="single" w:color="B9C3CC" w:sz="6" w:space="0"/>
      </w:pBdr>
      <w:spacing w:before="190" w:after="304" w:line="20" w:lineRule="exact"/>
      <w:ind w:left="0" w:right="0" w:firstLine="0"/>
      <w:jc w:val="left"/>
    </w:pPr>
    <w:rPr>
      <w:rFonts w:ascii="IBM Plex Sans" w:hAnsi="IBM Plex Sans"/>
      <w:b w:val="false"/>
      <w:bCs w:val="false"/>
      <w:i w:val="false"/>
      <w:iCs w:val="false"/>
      <w:caps w:val="false"/>
      <w:color w:val="1B2631"/>
      <w:sz w:val="2"/>
      <w:szCs w:val="2"/>
    </w:rPr>
  </w:style>
  <w:style w:type="paragraph" w:styleId="SceneBreak" w:customStyle="true">
    <w:name w:val="Scene Break"/>
    <w:basedOn w:val="Normal"/>
    <w:qFormat/>
    <w:pPr>
      <w:keepNext/>
      <w:spacing w:before="266" w:after="266" w:line="240" w:lineRule="auto"/>
      <w:ind w:left="0" w:right="0" w:firstLine="0"/>
      <w:jc w:val="center"/>
    </w:pPr>
    <w:rPr>
      <w:rFonts w:ascii="IBM Plex Sans" w:hAnsi="IBM Plex Sans"/>
      <w:b w:val="false"/>
      <w:bCs w:val="false"/>
      <w:i w:val="false"/>
      <w:iCs w:val="false"/>
      <w:caps w:val="false"/>
      <w:color w:val="1A5276"/>
      <w:sz w:val="22"/>
      <w:szCs w:val="22"/>
    </w:rPr>
  </w:style>
  <w:style w:type="paragraph" w:styleId="HeadingBar" w:customStyle="true">
    <w:name w:val="Heading Bar"/>
    <w:basedOn w:val="Normal"/>
    <w:qFormat/>
    <w:pPr>
      <w:keepNext/>
      <w:spacing w:before="0" w:after="0" w:line="20" w:lineRule="exact"/>
      <w:ind w:left="0" w:right="0" w:firstLine="0"/>
      <w:jc w:val="left"/>
    </w:pPr>
    <w:rPr>
      <w:rFonts w:ascii="IBM Plex Sans" w:hAnsi="IBM Plex Sans"/>
      <w:b w:val="false"/>
      <w:bCs w:val="false"/>
      <w:i w:val="false"/>
      <w:iCs w:val="false"/>
      <w:caps w:val="false"/>
      <w:color w:val="1A5276"/>
      <w:sz w:val="2"/>
      <w:szCs w:val="2"/>
    </w:rPr>
  </w:style>
  <w:style w:type="paragraph" w:styleId="ChapterNumber" w:customStyle="true">
    <w:name w:val="Chapter Number"/>
    <w:basedOn w:val="Normal"/>
    <w:qFormat/>
    <w:pPr>
      <w:keepNext/>
      <w:suppressAutoHyphens/>
      <w:spacing w:before="1296" w:after="91" w:line="288" w:lineRule="auto"/>
      <w:ind w:left="0" w:right="0" w:firstLine="0"/>
      <w:jc w:val="center"/>
    </w:pPr>
    <w:rPr>
      <w:rFonts w:ascii="IBM Plex Sans" w:hAnsi="IBM Plex Sans"/>
      <w:b w:val="true"/>
      <w:bCs w:val="true"/>
      <w:i w:val="false"/>
      <w:iCs w:val="false"/>
      <w:caps w:val="true"/>
      <w:color w:val="1A5276"/>
      <w:spacing w:val="27"/>
      <w:sz w:val="15"/>
      <w:szCs w:val="15"/>
    </w:rPr>
  </w:style>
  <w:style w:type="paragraph" w:styleId="ChapterTitle" w:customStyle="true">
    <w:name w:val="Chapter Title"/>
    <w:basedOn w:val="Normal"/>
    <w:next w:val="Normal"/>
    <w:qFormat/>
    <w:pPr>
      <w:keepNext/>
      <w:keepLines/>
      <w:suppressAutoHyphens/>
      <w:spacing w:before="0" w:after="304" w:line="602" w:lineRule="atLeast"/>
      <w:ind w:left="0" w:right="0" w:firstLine="0"/>
      <w:jc w:val="center"/>
      <w:outlineLvl w:val="0"/>
    </w:pPr>
    <w:rPr>
      <w:rFonts w:ascii="IBM Plex Sans" w:hAnsi="IBM Plex Sans"/>
      <w:b w:val="true"/>
      <w:bCs w:val="true"/>
      <w:i w:val="false"/>
      <w:iCs w:val="false"/>
      <w:caps w:val="false"/>
      <w:color w:val="154360"/>
      <w:spacing w:val="-5"/>
      <w:sz w:val="52"/>
      <w:szCs w:val="52"/>
    </w:rPr>
  </w:style>
  <w:style w:type="paragraph" w:styleId="Title">
    <w:name w:val="Title"/>
    <w:basedOn w:val="Normal"/>
    <w:qFormat/>
    <w:pPr>
      <w:keepNext/>
      <w:suppressAutoHyphens/>
      <w:spacing w:before="0" w:after="0" w:line="607" w:lineRule="atLeast"/>
      <w:ind w:left="0" w:right="0" w:firstLine="0"/>
      <w:jc w:val="left"/>
    </w:pPr>
    <w:rPr>
      <w:rFonts w:ascii="IBM Plex Sans" w:hAnsi="IBM Plex Sans"/>
      <w:b w:val="true"/>
      <w:bCs w:val="true"/>
      <w:i w:val="false"/>
      <w:iCs w:val="false"/>
      <w:caps w:val="false"/>
      <w:color w:val="1B2631"/>
      <w:spacing w:val="-6"/>
      <w:sz w:val="56"/>
      <w:szCs w:val="56"/>
    </w:rPr>
  </w:style>
  <w:style w:type="paragraph" w:styleId="Subtitle">
    <w:name w:val="Subtitle"/>
    <w:basedOn w:val="Normal"/>
    <w:qFormat/>
    <w:pPr>
      <w:keepNext/>
      <w:suppressAutoHyphens/>
      <w:spacing w:before="133" w:after="0" w:line="383" w:lineRule="atLeast"/>
      <w:ind w:left="0" w:right="0" w:firstLine="0"/>
      <w:jc w:val="left"/>
    </w:pPr>
    <w:rPr>
      <w:rFonts w:ascii="IBM Plex Sans" w:hAnsi="IBM Plex Sans"/>
      <w:b w:val="true"/>
      <w:bCs w:val="true"/>
      <w:i w:val="false"/>
      <w:iCs w:val="false"/>
      <w:caps w:val="false"/>
      <w:color w:val="154360"/>
      <w:sz w:val="29"/>
      <w:szCs w:val="29"/>
    </w:rPr>
  </w:style>
  <w:style w:type="paragraph" w:styleId="CoverDescription" w:customStyle="true">
    <w:name w:val="Cover Description"/>
    <w:basedOn w:val="Normal"/>
    <w:qFormat/>
    <w:pPr>
      <w:spacing w:before="266" w:after="0" w:line="285" w:lineRule="atLeast"/>
      <w:ind w:left="0" w:right="0" w:firstLine="0"/>
      <w:jc w:val="left"/>
    </w:pPr>
    <w:rPr>
      <w:rFonts w:ascii="IBM Plex Sans" w:hAnsi="IBM Plex Sans"/>
      <w:b w:val="false"/>
      <w:bCs w:val="false"/>
      <w:i w:val="false"/>
      <w:iCs w:val="false"/>
      <w:caps w:val="false"/>
      <w:color w:val="52606D"/>
      <w:sz w:val="19"/>
      <w:szCs w:val="19"/>
    </w:rPr>
  </w:style>
  <w:style w:type="paragraph" w:styleId="CoverMeta" w:customStyle="true">
    <w:name w:val="Cover Meta"/>
    <w:basedOn w:val="Normal"/>
    <w:qFormat/>
    <w:pPr>
      <w:pBdr>
        <w:top w:val="single" w:color="1B2631" w:sz="6" w:space="8"/>
      </w:pBdr>
      <w:spacing w:before="133" w:after="0" w:line="237" w:lineRule="atLeast"/>
      <w:ind w:left="0" w:right="0" w:firstLine="0"/>
      <w:jc w:val="left"/>
    </w:pPr>
    <w:rPr>
      <w:rFonts w:ascii="IBM Plex Sans" w:hAnsi="IBM Plex Sans"/>
      <w:b w:val="false"/>
      <w:bCs w:val="false"/>
      <w:i w:val="false"/>
      <w:iCs w:val="false"/>
      <w:caps w:val="false"/>
      <w:color w:val="52606D"/>
      <w:sz w:val="17"/>
      <w:szCs w:val="17"/>
    </w:rPr>
  </w:style>
  <w:style w:type="paragraph" w:styleId="CoverRule" w:customStyle="true">
    <w:name w:val="Cover Rule"/>
    <w:basedOn w:val="Normal"/>
    <w:qFormat/>
    <w:pPr>
      <w:keepNext/>
      <w:spacing w:before="0" w:after="0" w:line="20" w:lineRule="exact"/>
      <w:ind w:left="0" w:right="0" w:firstLine="0"/>
      <w:jc w:val="left"/>
    </w:pPr>
    <w:rPr>
      <w:rFonts w:ascii="IBM Plex Sans" w:hAnsi="IBM Plex Sans"/>
      <w:b w:val="false"/>
      <w:bCs w:val="false"/>
      <w:i w:val="false"/>
      <w:iCs w:val="false"/>
      <w:caps w:val="false"/>
      <w:color w:val="1A5276"/>
      <w:sz w:val="2"/>
      <w:szCs w:val="2"/>
    </w:rPr>
  </w:style>
  <w:style w:type="paragraph" w:styleId="Header">
    <w:name w:val="Header"/>
    <w:basedOn w:val="Normal"/>
    <w:qFormat/>
    <w:pPr>
      <w:suppressAutoHyphens/>
      <w:spacing w:before="0" w:after="0" w:line="288" w:lineRule="auto"/>
      <w:ind w:left="0" w:right="0" w:firstLine="0"/>
      <w:jc w:val="left"/>
    </w:pPr>
    <w:rPr>
      <w:rFonts w:ascii="IBM Plex Sans" w:hAnsi="IBM Plex Sans"/>
      <w:b w:val="false"/>
      <w:bCs w:val="false"/>
      <w:i w:val="false"/>
      <w:iCs w:val="false"/>
      <w:caps w:val="false"/>
      <w:color w:val="52606D"/>
      <w:sz w:val="18"/>
      <w:szCs w:val="18"/>
    </w:rPr>
  </w:style>
  <w:style w:type="paragraph" w:styleId="Footer">
    <w:name w:val="Footer"/>
    <w:basedOn w:val="Normal"/>
    <w:qFormat/>
    <w:pPr>
      <w:suppressAutoHyphens/>
      <w:spacing w:before="0" w:after="0" w:line="288" w:lineRule="auto"/>
      <w:ind w:left="0" w:right="0" w:firstLine="0"/>
      <w:jc w:val="left"/>
    </w:pPr>
    <w:rPr>
      <w:rFonts w:ascii="IBM Plex Sans" w:hAnsi="IBM Plex Sans"/>
      <w:b w:val="false"/>
      <w:bCs w:val="false"/>
      <w:i w:val="false"/>
      <w:iCs w:val="false"/>
      <w:caps w:val="false"/>
      <w:color w:val="52606D"/>
      <w:sz w:val="18"/>
      <w:szCs w:val="18"/>
    </w:rPr>
  </w:style>
  <w:style w:type="character" w:styleId="InlineCode" w:customStyle="true">
    <w:name w:val="Inline Code"/>
    <w:basedOn w:val="DefaultParagraphFont"/>
    <w:uiPriority w:val="99"/>
    <w:unhideWhenUsed/>
    <w:rPr>
      <w:rFonts w:ascii="IBM Plex Mono" w:hAnsi="IBM Plex Mono"/>
      <w:color w:val="1B2631"/>
      <w:sz w:val="16"/>
      <w:szCs w:val="16"/>
      <w:shd w:val="clear" w:color="auto" w:fill="F4F6F8"/>
    </w:rPr>
  </w:style>
  <w:style w:type="character" w:styleId="Hyperlink">
    <w:name w:val="Hyperlink"/>
    <w:basedOn w:val="DefaultParagraphFont"/>
    <w:uiPriority w:val="99"/>
    <w:unhideWhenUsed/>
    <w:rPr>
      <w:color w:val="1A5276"/>
      <w:u w:val="single"/>
    </w:rPr>
  </w:style>
</w:styles>
</file>

<file path=word/_rels/document.xml.rels>&#65279;<?xml version="1.0" encoding="utf-8"?><Relationships xmlns="http://schemas.openxmlformats.org/package/2006/relationships"><Relationship Type="http://schemas.openxmlformats.org/officeDocument/2006/relationships/styles" Target="/word/styles.xml" Id="Rb28a5f4679004824" /><Relationship Type="http://schemas.openxmlformats.org/officeDocument/2006/relationships/footer" Target="/word/footer1.xml" Id="R39577369b15a49e5" /><Relationship Type="http://schemas.openxmlformats.org/officeDocument/2006/relationships/numbering" Target="/word/numbering.xml" Id="R1ecf5f2f07a54327" /><Relationship Type="http://schemas.openxmlformats.org/officeDocument/2006/relationships/hyperlink" Target="mailto:corin.aldous@wexcombe-council.example" TargetMode="External" Id="Rf6f10898a0824b22" /><Relationship Type="http://schemas.openxmlformats.org/officeDocument/2006/relationships/hyperlink" Target="mailto:elspeth.rowan@ardmoor-council.example" TargetMode="External" Id="Re69cf3dbd7094eeb" /><Relationship Type="http://schemas.openxmlformats.org/officeDocument/2006/relationships/fontTable" Target="/word/fontTable.xml" Id="R0ba23bc3e5dd4027" /><Relationship Type="http://schemas.openxmlformats.org/officeDocument/2006/relationships/settings" Target="/word/settings.xml" Id="R2a714a56dd7c4a94" /></Relationships>
</file>