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dfefdca2f51457d" /></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Pr>
      <w:tblGrid>
        <w:gridCol w:w="11906"/>
      </w:tblGrid>
      <w:tr>
        <w:trPr>
          <w:cantSplit/>
          <w:trHeight w:val="16678" w:hRule="atLeast"/>
        </w:trPr>
        <w:tc>
          <w:tcPr>
            <w:tcW w:w="11906" w:type="dxa"/>
            <w:tcMar>
              <w:top w:w="1440" w:type="dxa"/>
              <w:left w:w="1440" w:type="dxa"/>
              <w:bottom w:w="2162" w:type="dxa"/>
              <w:right w:w="1440" w:type="dxa"/>
            </w:tcMar>
            <w:vAlign w:val="bottom"/>
          </w:tcPr>
          <w:p>
            <w:pPr>
              <w:pStyle w:val="CoverRule"/>
              <w:keepNext/>
              <w:pBdr>
                <w:bottom w:val="single" w:color="0E7480" w:sz="13" w:space="0"/>
              </w:pBdr>
              <w:spacing w:before="0" w:after="231" w:line="20" w:lineRule="exact"/>
              <w:ind w:left="0" w:right="8522" w:firstLine="0"/>
              <w:rPr>
                <w:sz w:val="2"/>
                <w:szCs w:val="2"/>
              </w:rPr>
            </w:pPr>
          </w:p>
          <w:p>
            <w:pPr>
              <w:pStyle w:val="Title"/>
              <w:jc w:val="left"/>
            </w:pPr>
            <w:r>
              <w:rPr>
                <w:lang w:val="en-US"/>
              </w:rPr>
              <w:t xml:space="preserve">Consulting proposal: repairs satisfaction measurement, Harbourside Housing Association</w:t>
            </w:r>
          </w:p>
          <w:p>
            <w:pPr>
              <w:pStyle w:val="CoverMeta"/>
              <w:jc w:val="left"/>
            </w:pPr>
            <w:r>
              <w:rPr>
                <w:lang w:val="en-US"/>
              </w:rPr>
              <w:t xml:space="preserve">October 03,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TOCHeading"/>
      </w:pPr>
      <w:r>
        <w:rPr>
          <w:lang w:val="en-US"/>
        </w:rPr>
        <w:t xml:space="preserve">Table of Contents</w:t>
      </w:r>
    </w:p>
    <w:p>
      <w:pPr>
        <w:pStyle w:val="TOC1"/>
        <w:tabs>
          <w:tab w:val="left" w:pos="462"/>
        </w:tabs>
      </w:pPr>
      <w:r>
        <w:rPr>
          <w:rStyle w:val="ContentsNumber"/>
          <w:lang w:val="en-US"/>
        </w:rPr>
        <w:t xml:space="preserve">01</w:t>
      </w:r>
      <w:r>
        <w:tab/>
      </w:r>
      <w:r>
        <w:rPr>
          <w:lang w:val="en-US"/>
        </w:rPr>
        <w:t xml:space="preserve">Cover Page</w:t>
      </w:r>
    </w:p>
    <w:p>
      <w:pPr>
        <w:pStyle w:val="TOC1"/>
        <w:tabs>
          <w:tab w:val="left" w:pos="462"/>
        </w:tabs>
      </w:pPr>
      <w:r>
        <w:rPr>
          <w:rStyle w:val="ContentsNumber"/>
          <w:lang w:val="en-US"/>
        </w:rPr>
        <w:t xml:space="preserve">02</w:t>
      </w:r>
      <w:r>
        <w:tab/>
      </w:r>
      <w:r>
        <w:rPr>
          <w:lang w:val="en-US"/>
        </w:rPr>
        <w:t xml:space="preserve">Executive Summary</w:t>
      </w:r>
    </w:p>
    <w:p>
      <w:pPr>
        <w:pStyle w:val="TOC1"/>
        <w:tabs>
          <w:tab w:val="left" w:pos="462"/>
        </w:tabs>
      </w:pPr>
      <w:r>
        <w:rPr>
          <w:rStyle w:val="ContentsNumber"/>
          <w:lang w:val="en-US"/>
        </w:rPr>
        <w:t xml:space="preserve">03</w:t>
      </w:r>
      <w:r>
        <w:tab/>
      </w:r>
      <w:r>
        <w:rPr>
          <w:lang w:val="en-US"/>
        </w:rPr>
        <w:t xml:space="preserve">Situation Assessment</w:t>
      </w:r>
    </w:p>
    <w:p>
      <w:pPr>
        <w:pStyle w:val="TOC2"/>
      </w:pPr>
      <w:r>
        <w:rPr>
          <w:lang w:val="en-US"/>
        </w:rPr>
        <w:t xml:space="preserve">Requirement-by-Requirement Compliance Matrix</w:t>
      </w:r>
    </w:p>
    <w:p>
      <w:pPr>
        <w:pStyle w:val="TOC1"/>
        <w:tabs>
          <w:tab w:val="left" w:pos="462"/>
        </w:tabs>
      </w:pPr>
      <w:r>
        <w:rPr>
          <w:rStyle w:val="ContentsNumber"/>
          <w:lang w:val="en-US"/>
        </w:rPr>
        <w:t xml:space="preserve">04</w:t>
      </w:r>
      <w:r>
        <w:tab/>
      </w:r>
      <w:r>
        <w:rPr>
          <w:lang w:val="en-US"/>
        </w:rPr>
        <w:t xml:space="preserve">Our Approach &amp; Methodology</w:t>
      </w:r>
    </w:p>
    <w:p>
      <w:pPr>
        <w:pStyle w:val="TOC2"/>
      </w:pPr>
      <w:r>
        <w:rPr>
          <w:lang w:val="en-US"/>
        </w:rPr>
        <w:t xml:space="preserve">Phase 1: Discover and Establish the Baseline</w:t>
      </w:r>
    </w:p>
    <w:p>
      <w:pPr>
        <w:pStyle w:val="TOC2"/>
      </w:pPr>
      <w:r>
        <w:rPr>
          <w:lang w:val="en-US"/>
        </w:rPr>
        <w:t xml:space="preserve">Phase 2: Assess Survey and Measurement Design</w:t>
      </w:r>
    </w:p>
    <w:p>
      <w:pPr>
        <w:pStyle w:val="TOC2"/>
      </w:pPr>
      <w:r>
        <w:rPr>
          <w:lang w:val="en-US"/>
        </w:rPr>
        <w:t xml:space="preserve">Phase 3: Design the Reporting Approach</w:t>
      </w:r>
    </w:p>
    <w:p>
      <w:pPr>
        <w:pStyle w:val="TOC2"/>
      </w:pPr>
      <w:r>
        <w:rPr>
          <w:lang w:val="en-US"/>
        </w:rPr>
        <w:t xml:space="preserve">Phase 4: Prioritise Action and Secure Board Direction</w:t>
      </w:r>
    </w:p>
    <w:p>
      <w:pPr>
        <w:pStyle w:val="TOC2"/>
      </w:pPr>
      <w:r>
        <w:rPr>
          <w:lang w:val="en-US"/>
        </w:rPr>
        <w:t xml:space="preserve">Phase 5: Handover and Close</w:t>
      </w:r>
    </w:p>
    <w:p>
      <w:pPr>
        <w:pStyle w:val="TOC1"/>
        <w:tabs>
          <w:tab w:val="left" w:pos="462"/>
        </w:tabs>
      </w:pPr>
      <w:r>
        <w:rPr>
          <w:rStyle w:val="ContentsNumber"/>
          <w:lang w:val="en-US"/>
        </w:rPr>
        <w:t xml:space="preserve">05</w:t>
      </w:r>
      <w:r>
        <w:tab/>
      </w:r>
      <w:r>
        <w:rPr>
          <w:lang w:val="en-US"/>
        </w:rPr>
        <w:t xml:space="preserve">Project Phases &amp; Deliverables</w:t>
      </w:r>
    </w:p>
    <w:p>
      <w:pPr>
        <w:pStyle w:val="TOC1"/>
        <w:tabs>
          <w:tab w:val="left" w:pos="462"/>
        </w:tabs>
      </w:pPr>
      <w:r>
        <w:rPr>
          <w:rStyle w:val="ContentsNumber"/>
          <w:lang w:val="en-US"/>
        </w:rPr>
        <w:t xml:space="preserve">06</w:t>
      </w:r>
      <w:r>
        <w:tab/>
      </w:r>
      <w:r>
        <w:rPr>
          <w:lang w:val="en-US"/>
        </w:rPr>
        <w:t xml:space="preserve">Team &amp; Expertise</w:t>
      </w:r>
    </w:p>
    <w:p>
      <w:pPr>
        <w:pStyle w:val="TOC1"/>
        <w:tabs>
          <w:tab w:val="left" w:pos="462"/>
        </w:tabs>
      </w:pPr>
      <w:r>
        <w:rPr>
          <w:rStyle w:val="ContentsNumber"/>
          <w:lang w:val="en-US"/>
        </w:rPr>
        <w:t xml:space="preserve">07</w:t>
      </w:r>
      <w:r>
        <w:tab/>
      </w:r>
      <w:r>
        <w:rPr>
          <w:lang w:val="en-US"/>
        </w:rPr>
        <w:t xml:space="preserve">Timeline</w:t>
      </w:r>
    </w:p>
    <w:p>
      <w:pPr>
        <w:pStyle w:val="TOC1"/>
        <w:tabs>
          <w:tab w:val="left" w:pos="462"/>
        </w:tabs>
      </w:pPr>
      <w:r>
        <w:rPr>
          <w:rStyle w:val="ContentsNumber"/>
          <w:lang w:val="en-US"/>
        </w:rPr>
        <w:t xml:space="preserve">08</w:t>
      </w:r>
      <w:r>
        <w:tab/>
      </w:r>
      <w:r>
        <w:rPr>
          <w:lang w:val="en-US"/>
        </w:rPr>
        <w:t xml:space="preserve">Investment</w:t>
      </w:r>
    </w:p>
    <w:p>
      <w:pPr>
        <w:pStyle w:val="TOC1"/>
        <w:tabs>
          <w:tab w:val="left" w:pos="462"/>
        </w:tabs>
      </w:pPr>
      <w:r>
        <w:rPr>
          <w:rStyle w:val="ContentsNumber"/>
          <w:lang w:val="en-US"/>
        </w:rPr>
        <w:t xml:space="preserve">09</w:t>
      </w:r>
      <w:r>
        <w:tab/>
      </w:r>
      <w:r>
        <w:rPr>
          <w:lang w:val="en-US"/>
        </w:rPr>
        <w:t xml:space="preserve">Expected Outcomes</w:t>
      </w:r>
    </w:p>
    <w:p>
      <w:pPr>
        <w:pStyle w:val="TOC1"/>
        <w:tabs>
          <w:tab w:val="left" w:pos="462"/>
        </w:tabs>
      </w:pPr>
      <w:r>
        <w:rPr>
          <w:rStyle w:val="ContentsNumber"/>
          <w:lang w:val="en-US"/>
        </w:rPr>
        <w:t xml:space="preserve">10</w:t>
      </w:r>
      <w:r>
        <w:tab/>
      </w:r>
      <w:r>
        <w:rPr>
          <w:lang w:val="en-US"/>
        </w:rPr>
        <w:t xml:space="preserve">Why Larkfield Analytics Ltd</w:t>
      </w:r>
    </w:p>
    <w:p>
      <w:pPr>
        <w:pStyle w:val="TOC1"/>
        <w:tabs>
          <w:tab w:val="left" w:pos="462"/>
        </w:tabs>
      </w:pPr>
      <w:r>
        <w:rPr>
          <w:rStyle w:val="ContentsNumber"/>
          <w:lang w:val="en-US"/>
        </w:rPr>
        <w:t xml:space="preserve">11</w:t>
      </w:r>
      <w:r>
        <w:tab/>
      </w:r>
      <w:r>
        <w:rPr>
          <w:lang w:val="en-US"/>
        </w:rPr>
        <w:t xml:space="preserve">Terms &amp; Conditions</w:t>
      </w:r>
    </w:p>
    <w:p>
      <w:pPr>
        <w:pStyle w:val="TOC1"/>
        <w:tabs>
          <w:tab w:val="left" w:pos="462"/>
        </w:tabs>
      </w:pPr>
      <w:r>
        <w:rPr>
          <w:rStyle w:val="ContentsNumber"/>
          <w:lang w:val="en-US"/>
        </w:rPr>
        <w:t xml:space="preserve">12</w:t>
      </w:r>
      <w:r>
        <w:tab/>
      </w:r>
      <w:r>
        <w:rPr>
          <w:lang w:val="en-US"/>
        </w:rPr>
        <w:t xml:space="preserve">Next Steps</w:t>
      </w:r>
    </w:p>
    <w:p>
      <w:pPr>
        <w:pStyle w:val="TOC1"/>
        <w:tabs>
          <w:tab w:val="left" w:pos="462"/>
        </w:tabs>
      </w:pPr>
      <w:r>
        <w:rPr>
          <w:rStyle w:val="ContentsNumber"/>
          <w:lang w:val="en-US"/>
        </w:rPr>
        <w:t xml:space="preserve">13</w:t>
      </w:r>
      <w:r>
        <w:tab/>
      </w:r>
      <w:r>
        <w:rPr>
          <w:lang w:val="en-US"/>
        </w:rPr>
        <w:t xml:space="preserve">References</w:t>
      </w:r>
    </w:p>
    <w:p>
      <w:r>
        <w:br w:type="page"/>
      </w:r>
    </w:p>
    <w:p>
      <w:pPr>
        <w:pStyle w:val="DocumentTitle"/>
        <w:outlineLvl w:val="0"/>
      </w:pPr>
      <w:r>
        <w:rPr>
          <w:lang w:val="en-US"/>
        </w:rPr>
        <w:t xml:space="preserve">Repairs Satisfaction Advisory Engagement</w:t>
      </w:r>
    </w:p>
    <w:p>
      <w:pPr>
        <w:pStyle w:val="Heading2"/>
        <w:outlineLvl w:val="1"/>
      </w:pPr>
      <w:r>
        <w:rPr>
          <w:lang w:val="en-US"/>
        </w:rPr>
        <w:t xml:space="preserve">Cover Page</w:t>
      </w:r>
    </w:p>
    <w:p>
      <w:pPr>
        <w:pStyle w:val="Normal"/>
      </w:pPr>
      <w:r>
        <w:rPr>
          <w:b/>
          <w:lang w:val="en-US"/>
        </w:rPr>
        <w:t xml:space="preserve">Prepared for:</w:t>
      </w:r>
      <w:r>
        <w:rPr>
          <w:lang w:val="en-US"/>
        </w:rPr>
        <w:t xml:space="preserve"> Harbourside Housing Association</w:t>
      </w:r>
    </w:p>
    <w:p>
      <w:pPr>
        <w:pStyle w:val="Normal"/>
      </w:pPr>
      <w:r>
        <w:rPr>
          <w:b/>
          <w:lang w:val="en-US"/>
        </w:rPr>
        <w:t xml:space="preserve">Prepared by:</w:t>
      </w:r>
      <w:r>
        <w:rPr>
          <w:lang w:val="en-US"/>
        </w:rPr>
        <w:t xml:space="preserve"> Larkfield Analytics Ltd</w:t>
      </w:r>
    </w:p>
    <w:p>
      <w:pPr>
        <w:pStyle w:val="Normal"/>
      </w:pPr>
      <w:r>
        <w:rPr>
          <w:b/>
          <w:lang w:val="en-US"/>
        </w:rPr>
        <w:t xml:space="preserve">Engagement:</w:t>
      </w:r>
      <w:r>
        <w:rPr>
          <w:lang w:val="en-US"/>
        </w:rPr>
        <w:t xml:space="preserve"> Ten-week repairs satisfaction measurement and reporting advisory engagement</w:t>
      </w:r>
    </w:p>
    <w:p>
      <w:pPr>
        <w:pStyle w:val="CalloutWarning"/>
        <w:spacing w:after="242"/>
      </w:pPr>
      <w:r>
        <w:rPr>
          <w:b/>
          <w:lang w:val="en-US"/>
        </w:rPr>
        <w:t xml:space="preserve">Worked example notice:</w:t>
      </w:r>
      <w:r>
        <w:rPr>
          <w:lang w:val="en-US"/>
        </w:rPr>
        <w:t xml:space="preserve"> Harbourside Housing Association and Larkfield Analytics Ltd are fictional organisations. This proposal is a fictional worked example.</w:t>
      </w:r>
    </w:p>
    <w:p>
      <w:pPr>
        <w:pStyle w:val="Normal"/>
      </w:pPr>
      <w:r>
        <w:rPr>
          <w:b/>
          <w:lang w:val="en-US"/>
        </w:rPr>
        <w:t xml:space="preserve">Proposal validity:</w:t>
      </w:r>
      <w:r>
        <w:rPr>
          <w:lang w:val="en-US"/>
        </w:rPr>
        <w:t xml:space="preserve"> 60 days from the date of issue.</w:t>
      </w:r>
    </w:p>
    <w:p>
      <w:pPr>
        <w:pStyle w:val="Normal"/>
      </w:pPr>
      <w:r>
        <w:rPr>
          <w:b/>
          <w:lang w:val="en-US"/>
        </w:rPr>
        <w:t xml:space="preserve">Total investment:</w:t>
      </w:r>
      <w:r>
        <w:rPr>
          <w:lang w:val="en-US"/>
        </w:rPr>
        <w:t xml:space="preserve"> £46,730 excluding VAT.</w:t>
      </w:r>
    </w:p>
    <w:p>
      <w:pPr>
        <w:pStyle w:val="Heading2"/>
        <w:outlineLvl w:val="1"/>
      </w:pPr>
      <w:r>
        <w:rPr>
          <w:lang w:val="en-US"/>
        </w:rPr>
        <w:t xml:space="preserve">Executive Summary</w:t>
      </w:r>
    </w:p>
    <w:p>
      <w:pPr>
        <w:pStyle w:val="Normal"/>
      </w:pPr>
      <w:r>
        <w:rPr>
          <w:lang w:val="en-US"/>
        </w:rPr>
        <w:t xml:space="preserve">Harbourside Housing Association has a valuable source of tenant feedback: a text survey reaching approximately 3,800 tenants each year. However, with an approximately 11% response rate, survey data held in a spreadsheet by one officer, unchanged questions since 2019, and no contractor identifier in the survey results, the current process does not yet provide the ownership, comparability, or decision-making insight the repairs team and board need.</w:t>
      </w:r>
    </w:p>
    <w:p>
      <w:pPr>
        <w:pStyle w:val="Normal"/>
      </w:pPr>
      <w:r>
        <w:rPr>
          <w:lang w:val="en-US"/>
        </w:rPr>
        <w:t xml:space="preserve">We propose a ten-week advisory engagement that treats repairs satisfaction measurement as a strategic investment in service improvement. We will review the current survey and supporting data, establish how satisfaction can be measured by the two contractors and Harbourside's in-house repairs team, and provide a practical reporting approach for operational and board use.</w:t>
      </w:r>
    </w:p>
    <w:p>
      <w:pPr>
        <w:pStyle w:val="Normal"/>
      </w:pPr>
      <w:r>
        <w:rPr>
          <w:lang w:val="en-US"/>
        </w:rPr>
        <w:t xml:space="preserve">Our structured approach begins with a two-week discovery period covering stakeholder interviews, data inventory, and a written data protection impact assessment. We will then assess the survey design and available repairs data, develop a recommended measurement model, define a reporting approach, and present the resulting recommendation to the board in week nine. Delivery will be managed through fortnightly sprints, written progress reporting, and a risk register reviewed at each steering meeting.</w:t>
      </w:r>
    </w:p>
    <w:p>
      <w:pPr>
        <w:pStyle w:val="Normal"/>
      </w:pPr>
      <w:r>
        <w:rPr>
          <w:lang w:val="en-US"/>
        </w:rPr>
        <w:t xml:space="preserve">At the end of the engagement, Harbourside will have a clear recommendation for measuring repairs satisfaction by contractor each quarter, a defined reporting approach for the repairs team and board, and three prioritised service changes for implementation in the first six months.</w:t>
      </w:r>
    </w:p>
    <w:p>
      <w:pPr>
        <w:pStyle w:val="Normal"/>
      </w:pPr>
      <w:r>
        <w:rPr>
          <w:lang w:val="en-US"/>
        </w:rPr>
        <w:t xml:space="preserve">The fixed advisory fee is </w:t>
      </w:r>
      <w:r>
        <w:rPr>
          <w:b/>
          <w:lang w:val="en-US"/>
        </w:rPr>
        <w:t xml:space="preserve">£46,730 excluding VAT</w:t>
      </w:r>
      <w:r>
        <w:rPr>
          <w:lang w:val="en-US"/>
        </w:rPr>
        <w:t xml:space="preserve">. This sits within Harbourside's stated advisory budget of £40,000 to £55,000 excluding VAT.</w:t>
      </w:r>
    </w:p>
    <w:p>
      <w:pPr>
        <w:pStyle w:val="Heading2"/>
        <w:outlineLvl w:val="1"/>
      </w:pPr>
      <w:r>
        <w:rPr>
          <w:lang w:val="en-US"/>
        </w:rPr>
        <w:t xml:space="preserve">Situation Assessment</w:t>
      </w:r>
    </w:p>
    <w:p>
      <w:pPr>
        <w:pStyle w:val="Normal"/>
      </w:pPr>
      <w:r>
        <w:rPr>
          <w:lang w:val="en-US"/>
        </w:rPr>
        <w:t xml:space="preserve">Harbourside manages approximately 6,200 homes and currently invites tenants who have had a repair to respond through a text survey. The survey reaches roughly 3,800 tenants annually, with approximately 11% responding. The response data is held in a spreadsheet maintained by one officer.</w:t>
      </w:r>
    </w:p>
    <w:p>
      <w:pPr>
        <w:pStyle w:val="Normal"/>
      </w:pPr>
      <w:r>
        <w:rPr>
          <w:lang w:val="en-US"/>
        </w:rPr>
        <w:t xml:space="preserve">Repairs are delivered by two contractors and Harbourside's own team, but the current survey does not identify which delivery route completed the repair. The survey questions have not changed since 2019. As a result, Harbourside cannot currently report repairs satisfaction by contractor or use the survey consistently to drive accountable service improvement.</w:t>
      </w:r>
    </w:p>
    <w:p>
      <w:pPr>
        <w:pStyle w:val="Heading3"/>
        <w:outlineLvl w:val="2"/>
      </w:pPr>
      <w:r>
        <w:rPr>
          <w:lang w:val="en-US"/>
        </w:rPr>
        <w:t xml:space="preserve">Requirement-by-Requirement Compliance Matrix</w:t>
      </w:r>
    </w:p>
    <w:tbl>
      <w:tblPr>
        <w:tblW w:w="9026" w:type="dxa"/>
        <w:tblInd w:w="0" w:type="dxa"/>
        <w:tblBorders>
          <w:top w:val="nil"/>
          <w:left w:val="nil"/>
          <w:bottom w:val="single" w:color="D3DCDF" w:sz="6"/>
          <w:right w:val="nil"/>
          <w:insideH w:val="single" w:color="D3DCDF" w:sz="6"/>
          <w:insideV w:val="nil"/>
        </w:tblBorders>
        <w:tblLayout w:type="fixed"/>
        <w:tblCellMar>
          <w:top w:w="93" w:type="dxa"/>
          <w:left w:w="93" w:type="dxa"/>
          <w:bottom w:w="93" w:type="dxa"/>
          <w:right w:w="93" w:type="dxa"/>
        </w:tblCellMar>
      </w:tblPr>
      <w:tblGrid>
        <w:gridCol w:w="3009"/>
        <w:gridCol w:w="3009"/>
        <w:gridCol w:w="3008"/>
      </w:tblGrid>
      <w:tr>
        <w:trPr>
          <w:cantSplit/>
          <w:tblHeader/>
        </w:trPr>
        <w:tc>
          <w:tcPr>
            <w:tcW w:w="3009" w:type="dxa"/>
            <w:tcBorders>
              <w:bottom w:val="single" w:color="2D3748" w:sz="13" w:space="0"/>
            </w:tcBorders>
            <w:tcMar>
              <w:left w:w="0" w:type="dxa"/>
            </w:tcMar>
          </w:tcPr>
          <w:p>
            <w:pPr>
              <w:pStyle w:val="TableHeading"/>
              <w:spacing w:before="0" w:after="0" w:line="240" w:lineRule="auto"/>
              <w:ind w:left="0" w:right="0" w:firstLine="0"/>
              <w:jc w:val="left"/>
            </w:pPr>
            <w:r>
              <w:rPr>
                <w:b/>
                <w:lang w:val="en-US"/>
              </w:rPr>
              <w:t xml:space="preserve">Buyer Requirement</w:t>
            </w:r>
          </w:p>
        </w:tc>
        <w:tc>
          <w:tcPr>
            <w:tcW w:w="3009" w:type="dxa"/>
            <w:tcBorders>
              <w:bottom w:val="single" w:color="2D3748" w:sz="13" w:space="0"/>
            </w:tcBorders>
          </w:tcPr>
          <w:p>
            <w:pPr>
              <w:pStyle w:val="TableHeading"/>
              <w:spacing w:before="0" w:after="0" w:line="240" w:lineRule="auto"/>
              <w:ind w:left="0" w:right="0" w:firstLine="0"/>
              <w:jc w:val="left"/>
            </w:pPr>
            <w:r>
              <w:rPr>
                <w:b/>
                <w:lang w:val="en-US"/>
              </w:rPr>
              <w:t xml:space="preserve">Our Response</w:t>
            </w:r>
          </w:p>
        </w:tc>
        <w:tc>
          <w:tcPr>
            <w:tcW w:w="3008" w:type="dxa"/>
            <w:tcBorders>
              <w:bottom w:val="single" w:color="2D3748" w:sz="13" w:space="0"/>
            </w:tcBorders>
          </w:tcPr>
          <w:p>
            <w:pPr>
              <w:pStyle w:val="TableHeading"/>
              <w:spacing w:before="0" w:after="0" w:line="240" w:lineRule="auto"/>
              <w:ind w:left="0" w:right="0" w:firstLine="0"/>
              <w:jc w:val="left"/>
            </w:pPr>
            <w:r>
              <w:rPr>
                <w:b/>
                <w:lang w:val="en-US"/>
              </w:rPr>
              <w:t xml:space="preserve">Status</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Ten-week advisory engagement</w:t>
            </w:r>
          </w:p>
        </w:tc>
        <w:tc>
          <w:tcPr>
            <w:tcW w:w="3009" w:type="dxa"/>
          </w:tcPr>
          <w:p>
            <w:pPr>
              <w:pStyle w:val="TableText"/>
              <w:spacing w:before="0" w:after="0" w:line="240" w:lineRule="auto"/>
              <w:ind w:left="0" w:right="0" w:firstLine="0"/>
              <w:jc w:val="left"/>
            </w:pPr>
            <w:r>
              <w:rPr>
                <w:lang w:val="en-US"/>
              </w:rPr>
              <w:t xml:space="preserve">We will deliver the engagement over ten weeks, from discovery through board presentation and handover.</w:t>
            </w:r>
          </w:p>
        </w:tc>
        <w:tc>
          <w:tcPr>
            <w:tcW w:w="3008" w:type="dxa"/>
          </w:tcPr>
          <w:p>
            <w:pPr>
              <w:pStyle w:val="TableText"/>
              <w:spacing w:before="0" w:after="0" w:line="240" w:lineRule="auto"/>
              <w:ind w:left="0" w:right="0" w:firstLine="0"/>
              <w:jc w:val="left"/>
            </w:pPr>
            <w:r>
              <w:rPr>
                <w:lang w:val="en-US"/>
              </w:rPr>
              <w:t xml:space="preserve">Covered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Review the current repairs survey and the data behind it</w:t>
            </w:r>
          </w:p>
        </w:tc>
        <w:tc>
          <w:tcPr>
            <w:tcW w:w="3009" w:type="dxa"/>
          </w:tcPr>
          <w:p>
            <w:pPr>
              <w:pStyle w:val="TableText"/>
              <w:spacing w:before="0" w:after="0" w:line="240" w:lineRule="auto"/>
              <w:ind w:left="0" w:right="0" w:firstLine="0"/>
              <w:jc w:val="left"/>
            </w:pPr>
            <w:r>
              <w:rPr>
                <w:lang w:val="en-US"/>
              </w:rPr>
              <w:t xml:space="preserve">We will review current questions, response data, data handling, available repairs data, and the linkages needed for analysis.</w:t>
            </w:r>
          </w:p>
        </w:tc>
        <w:tc>
          <w:tcPr>
            <w:tcW w:w="3008" w:type="dxa"/>
          </w:tcPr>
          <w:p>
            <w:pPr>
              <w:pStyle w:val="TableText"/>
              <w:spacing w:before="0" w:after="0" w:line="240" w:lineRule="auto"/>
              <w:ind w:left="0" w:right="0" w:firstLine="0"/>
              <w:jc w:val="left"/>
            </w:pPr>
            <w:r>
              <w:rPr>
                <w:lang w:val="en-US"/>
              </w:rPr>
              <w:t xml:space="preserve">Covered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Recommend how to measure repairs satisfaction by contractor</w:t>
            </w:r>
          </w:p>
        </w:tc>
        <w:tc>
          <w:tcPr>
            <w:tcW w:w="3009" w:type="dxa"/>
          </w:tcPr>
          <w:p>
            <w:pPr>
              <w:pStyle w:val="TableText"/>
              <w:spacing w:before="0" w:after="0" w:line="240" w:lineRule="auto"/>
              <w:ind w:left="0" w:right="0" w:firstLine="0"/>
              <w:jc w:val="left"/>
            </w:pPr>
            <w:r>
              <w:rPr>
                <w:lang w:val="en-US"/>
              </w:rPr>
              <w:t xml:space="preserve">We will recommend a contractor-level measurement model covering the two contractors and Harbourside's in-house team.</w:t>
            </w:r>
          </w:p>
        </w:tc>
        <w:tc>
          <w:tcPr>
            <w:tcW w:w="3008" w:type="dxa"/>
          </w:tcPr>
          <w:p>
            <w:pPr>
              <w:pStyle w:val="TableText"/>
              <w:spacing w:before="0" w:after="0" w:line="240" w:lineRule="auto"/>
              <w:ind w:left="0" w:right="0" w:firstLine="0"/>
              <w:jc w:val="left"/>
            </w:pPr>
            <w:r>
              <w:rPr>
                <w:lang w:val="en-US"/>
              </w:rPr>
              <w:t xml:space="preserve">Covered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Leave a reporting approach for the repairs team and board</w:t>
            </w:r>
          </w:p>
        </w:tc>
        <w:tc>
          <w:tcPr>
            <w:tcW w:w="3009" w:type="dxa"/>
          </w:tcPr>
          <w:p>
            <w:pPr>
              <w:pStyle w:val="TableText"/>
              <w:spacing w:before="0" w:after="0" w:line="240" w:lineRule="auto"/>
              <w:ind w:left="0" w:right="0" w:firstLine="0"/>
              <w:jc w:val="left"/>
            </w:pPr>
            <w:r>
              <w:rPr>
                <w:lang w:val="en-US"/>
              </w:rPr>
              <w:t xml:space="preserve">We will provide an operational and board reporting approach, including measures, reporting cadence, ownership, and decision use.</w:t>
            </w:r>
          </w:p>
        </w:tc>
        <w:tc>
          <w:tcPr>
            <w:tcW w:w="3008" w:type="dxa"/>
          </w:tcPr>
          <w:p>
            <w:pPr>
              <w:pStyle w:val="TableText"/>
              <w:spacing w:before="0" w:after="0" w:line="240" w:lineRule="auto"/>
              <w:ind w:left="0" w:right="0" w:firstLine="0"/>
              <w:jc w:val="left"/>
            </w:pPr>
            <w:r>
              <w:rPr>
                <w:lang w:val="en-US"/>
              </w:rPr>
              <w:t xml:space="preserve">Covered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No new software purchases during the engagement</w:t>
            </w:r>
          </w:p>
        </w:tc>
        <w:tc>
          <w:tcPr>
            <w:tcW w:w="3009" w:type="dxa"/>
          </w:tcPr>
          <w:p>
            <w:pPr>
              <w:pStyle w:val="TableText"/>
              <w:spacing w:before="0" w:after="0" w:line="240" w:lineRule="auto"/>
              <w:ind w:left="0" w:right="0" w:firstLine="0"/>
              <w:jc w:val="left"/>
            </w:pPr>
            <w:r>
              <w:rPr>
                <w:lang w:val="en-US"/>
              </w:rPr>
              <w:t xml:space="preserve">Our advisory engagement will not require a new software purchase during the ten-week period.</w:t>
            </w:r>
          </w:p>
        </w:tc>
        <w:tc>
          <w:tcPr>
            <w:tcW w:w="3008" w:type="dxa"/>
          </w:tcPr>
          <w:p>
            <w:pPr>
              <w:pStyle w:val="TableText"/>
              <w:spacing w:before="0" w:after="0" w:line="240" w:lineRule="auto"/>
              <w:ind w:left="0" w:right="0" w:firstLine="0"/>
              <w:jc w:val="left"/>
            </w:pPr>
            <w:r>
              <w:rPr>
                <w:lang w:val="en-US"/>
              </w:rPr>
              <w:t xml:space="preserve">Covered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Engagement lead presents to the board in week nine</w:t>
            </w:r>
          </w:p>
        </w:tc>
        <w:tc>
          <w:tcPr>
            <w:tcW w:w="3009" w:type="dxa"/>
          </w:tcPr>
          <w:p>
            <w:pPr>
              <w:pStyle w:val="TableText"/>
              <w:spacing w:before="0" w:after="0" w:line="240" w:lineRule="auto"/>
              <w:ind w:left="0" w:right="0" w:firstLine="0"/>
              <w:jc w:val="left"/>
            </w:pPr>
            <w:r>
              <w:rPr>
                <w:lang w:val="en-US"/>
              </w:rPr>
              <w:t xml:space="preserve">Imogen Farrow, Engagement Director and engagement lead, will present the recommendation to Harbourside's board in week nine.</w:t>
            </w:r>
          </w:p>
        </w:tc>
        <w:tc>
          <w:tcPr>
            <w:tcW w:w="3008" w:type="dxa"/>
          </w:tcPr>
          <w:p>
            <w:pPr>
              <w:pStyle w:val="TableText"/>
              <w:spacing w:before="0" w:after="0" w:line="240" w:lineRule="auto"/>
              <w:ind w:left="0" w:right="0" w:firstLine="0"/>
              <w:jc w:val="left"/>
            </w:pPr>
            <w:r>
              <w:rPr>
                <w:lang w:val="en-US"/>
              </w:rPr>
              <w:t xml:space="preserve">Covered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Operations manager availability of two days per week</w:t>
            </w:r>
          </w:p>
        </w:tc>
        <w:tc>
          <w:tcPr>
            <w:tcW w:w="3009" w:type="dxa"/>
          </w:tcPr>
          <w:p>
            <w:pPr>
              <w:pStyle w:val="TableText"/>
              <w:spacing w:before="0" w:after="0" w:line="240" w:lineRule="auto"/>
              <w:ind w:left="0" w:right="0" w:firstLine="0"/>
              <w:jc w:val="left"/>
            </w:pPr>
            <w:r>
              <w:rPr>
                <w:lang w:val="en-US"/>
              </w:rPr>
              <w:t xml:space="preserve">We will plan delivery around two days per week of operations manager participation for discovery, review, decision-making, and validation activity.</w:t>
            </w:r>
          </w:p>
        </w:tc>
        <w:tc>
          <w:tcPr>
            <w:tcW w:w="3008" w:type="dxa"/>
          </w:tcPr>
          <w:p>
            <w:pPr>
              <w:pStyle w:val="TableText"/>
              <w:spacing w:before="0" w:after="0" w:line="240" w:lineRule="auto"/>
              <w:ind w:left="0" w:right="0" w:firstLine="0"/>
              <w:jc w:val="left"/>
            </w:pPr>
            <w:r>
              <w:rPr>
                <w:lang w:val="en-US"/>
              </w:rPr>
              <w:t xml:space="preserve">Covered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Board can see repairs satisfaction by contractor each quarter</w:t>
            </w:r>
          </w:p>
        </w:tc>
        <w:tc>
          <w:tcPr>
            <w:tcW w:w="3009" w:type="dxa"/>
          </w:tcPr>
          <w:p>
            <w:pPr>
              <w:pStyle w:val="TableText"/>
              <w:spacing w:before="0" w:after="0" w:line="240" w:lineRule="auto"/>
              <w:ind w:left="0" w:right="0" w:firstLine="0"/>
              <w:jc w:val="left"/>
            </w:pPr>
            <w:r>
              <w:rPr>
                <w:lang w:val="en-US"/>
              </w:rPr>
              <w:t xml:space="preserve">Our recommended measurement and reporting approach will be designed to support quarterly board visibility by contractor and in-house delivery team.</w:t>
            </w:r>
          </w:p>
        </w:tc>
        <w:tc>
          <w:tcPr>
            <w:tcW w:w="3008" w:type="dxa"/>
          </w:tcPr>
          <w:p>
            <w:pPr>
              <w:pStyle w:val="TableText"/>
              <w:spacing w:before="0" w:after="0" w:line="240" w:lineRule="auto"/>
              <w:ind w:left="0" w:right="0" w:firstLine="0"/>
              <w:jc w:val="left"/>
            </w:pPr>
            <w:r>
              <w:rPr>
                <w:lang w:val="en-US"/>
              </w:rPr>
              <w:t xml:space="preserve">Covered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Repairs team has three changes to make in the first six months</w:t>
            </w:r>
          </w:p>
        </w:tc>
        <w:tc>
          <w:tcPr>
            <w:tcW w:w="3009" w:type="dxa"/>
          </w:tcPr>
          <w:p>
            <w:pPr>
              <w:pStyle w:val="TableText"/>
              <w:spacing w:before="0" w:after="0" w:line="240" w:lineRule="auto"/>
              <w:ind w:left="0" w:right="0" w:firstLine="0"/>
              <w:jc w:val="left"/>
            </w:pPr>
            <w:r>
              <w:rPr>
                <w:lang w:val="en-US"/>
              </w:rPr>
              <w:t xml:space="preserve">We will identify and prioritise three changes for the repairs team's first six months of implementation.</w:t>
            </w:r>
          </w:p>
        </w:tc>
        <w:tc>
          <w:tcPr>
            <w:tcW w:w="3008" w:type="dxa"/>
          </w:tcPr>
          <w:p>
            <w:pPr>
              <w:pStyle w:val="TableText"/>
              <w:spacing w:before="0" w:after="0" w:line="240" w:lineRule="auto"/>
              <w:ind w:left="0" w:right="0" w:firstLine="0"/>
              <w:jc w:val="left"/>
            </w:pPr>
            <w:r>
              <w:rPr>
                <w:lang w:val="en-US"/>
              </w:rPr>
              <w:t xml:space="preserve">Covered</w:t>
            </w:r>
          </w:p>
        </w:tc>
      </w:tr>
    </w:tbl>
    <w:p>
      <w:pPr>
        <w:pStyle w:val="Heading2"/>
        <w:outlineLvl w:val="1"/>
      </w:pPr>
      <w:r>
        <w:rPr>
          <w:lang w:val="en-US"/>
        </w:rPr>
        <w:t xml:space="preserve">Our Approach &amp; Methodology</w:t>
      </w:r>
    </w:p>
    <w:p>
      <w:pPr>
        <w:pStyle w:val="Normal"/>
      </w:pPr>
      <w:r>
        <w:rPr>
          <w:lang w:val="en-US"/>
        </w:rPr>
        <w:t xml:space="preserve">We will apply a structured advisory method tailored to Harbourside's current survey, data arrangements, contractor model, and reporting needs. The engagement is designed to produce an actionable recommendation rather than a generic survey redesign.</w:t>
      </w:r>
    </w:p>
    <w:p>
      <w:pPr>
        <w:pStyle w:val="Heading3"/>
        <w:outlineLvl w:val="2"/>
      </w:pPr>
      <w:r>
        <w:rPr>
          <w:lang w:val="en-US"/>
        </w:rPr>
        <w:t xml:space="preserve">Phase 1: Discover and Establish the Baseline</w:t>
      </w:r>
    </w:p>
    <w:p>
      <w:pPr>
        <w:pStyle w:val="Normal"/>
      </w:pPr>
      <w:r>
        <w:rPr>
          <w:b/>
          <w:lang w:val="en-US"/>
        </w:rPr>
        <w:t xml:space="preserve">Inputs:</w:t>
      </w:r>
      <w:r>
        <w:rPr>
          <w:lang w:val="en-US"/>
        </w:rPr>
        <w:t xml:space="preserve"> Current text survey questions, survey response spreadsheet, available repairs and contractor data, stakeholder knowledge, and operational priorities.</w:t>
      </w:r>
    </w:p>
    <w:p>
      <w:pPr>
        <w:pStyle w:val="Normal"/>
      </w:pPr>
      <w:r>
        <w:rPr>
          <w:b/>
          <w:lang w:val="en-US"/>
        </w:rPr>
        <w:t xml:space="preserve">Activities:</w:t>
      </w:r>
      <w:r>
        <w:rPr>
          <w:lang w:val="en-US"/>
        </w:rPr>
        <w:t xml:space="preserve"> We will conduct stakeholder interviews, complete a data inventory, review the survey and response process, and prepare a written data protection impact assessment. The client will sign off the data protection impact assessment before any personal data moves. We will identify the current journey from repair completion to survey invitation, response capture, reporting, ownership, and action.</w:t>
      </w:r>
    </w:p>
    <w:p>
      <w:pPr>
        <w:pStyle w:val="Normal"/>
      </w:pPr>
      <w:r>
        <w:rPr>
          <w:b/>
          <w:lang w:val="en-US"/>
        </w:rPr>
        <w:t xml:space="preserve">Outputs:</w:t>
      </w:r>
      <w:r>
        <w:rPr>
          <w:lang w:val="en-US"/>
        </w:rPr>
        <w:t xml:space="preserve"> A documented baseline, data inventory, data protection impact assessment, and agreed priorities for the engagement.</w:t>
      </w:r>
    </w:p>
    <w:p>
      <w:pPr>
        <w:pStyle w:val="Heading3"/>
        <w:outlineLvl w:val="2"/>
      </w:pPr>
      <w:r>
        <w:rPr>
          <w:lang w:val="en-US"/>
        </w:rPr>
        <w:t xml:space="preserve">Phase 2: Assess Survey and Measurement Design</w:t>
      </w:r>
    </w:p>
    <w:p>
      <w:pPr>
        <w:pStyle w:val="Normal"/>
      </w:pPr>
      <w:r>
        <w:rPr>
          <w:b/>
          <w:lang w:val="en-US"/>
        </w:rPr>
        <w:t xml:space="preserve">Inputs:</w:t>
      </w:r>
      <w:r>
        <w:rPr>
          <w:lang w:val="en-US"/>
        </w:rPr>
        <w:t xml:space="preserve"> Baseline findings, current survey questions, response patterns, available service and contractor data, and stakeholder feedback.</w:t>
      </w:r>
    </w:p>
    <w:p>
      <w:pPr>
        <w:pStyle w:val="Normal"/>
      </w:pPr>
      <w:r>
        <w:rPr>
          <w:b/>
          <w:lang w:val="en-US"/>
        </w:rPr>
        <w:t xml:space="preserve">Activities:</w:t>
      </w:r>
      <w:r>
        <w:rPr>
          <w:lang w:val="en-US"/>
        </w:rPr>
        <w:t xml:space="preserve"> We will assess whether the current survey questions remain fit for purpose, identify how contractor and in-house delivery can be attributed in the measurement process, and consider how response patterns should be interpreted. We will define the measures required for quarterly contractor-level reporting and identify the information needed to support them.</w:t>
      </w:r>
    </w:p>
    <w:p>
      <w:pPr>
        <w:pStyle w:val="Normal"/>
      </w:pPr>
      <w:r>
        <w:rPr>
          <w:b/>
          <w:lang w:val="en-US"/>
        </w:rPr>
        <w:t xml:space="preserve">Outputs:</w:t>
      </w:r>
      <w:r>
        <w:rPr>
          <w:lang w:val="en-US"/>
        </w:rPr>
        <w:t xml:space="preserve"> A survey and measurement assessment, including a recommended route to capture contractor attribution and establish comparable satisfaction measures.</w:t>
      </w:r>
    </w:p>
    <w:p>
      <w:pPr>
        <w:pStyle w:val="Heading3"/>
        <w:outlineLvl w:val="2"/>
      </w:pPr>
      <w:r>
        <w:rPr>
          <w:lang w:val="en-US"/>
        </w:rPr>
        <w:t xml:space="preserve">Phase 3: Design the Reporting Approach</w:t>
      </w:r>
    </w:p>
    <w:p>
      <w:pPr>
        <w:pStyle w:val="Normal"/>
      </w:pPr>
      <w:r>
        <w:rPr>
          <w:b/>
          <w:lang w:val="en-US"/>
        </w:rPr>
        <w:t xml:space="preserve">Inputs:</w:t>
      </w:r>
      <w:r>
        <w:rPr>
          <w:lang w:val="en-US"/>
        </w:rPr>
        <w:t xml:space="preserve"> Agreed measurement recommendations, data inventory findings, operational needs, and board information needs.</w:t>
      </w:r>
    </w:p>
    <w:p>
      <w:pPr>
        <w:pStyle w:val="Normal"/>
      </w:pPr>
      <w:r>
        <w:rPr>
          <w:b/>
          <w:lang w:val="en-US"/>
        </w:rPr>
        <w:t xml:space="preserve">Activities:</w:t>
      </w:r>
      <w:r>
        <w:rPr>
          <w:lang w:val="en-US"/>
        </w:rPr>
        <w:t xml:space="preserve"> We will define a reporting approach for the repairs team and the board. This will cover the reporting measures, the distinction between operational and board views, ownership, reporting rhythm, data definitions, and how findings should lead to action. We will document the common layout and supporting data definitions in a data dictionary for Harbourside to keep.</w:t>
      </w:r>
    </w:p>
    <w:p>
      <w:pPr>
        <w:pStyle w:val="Normal"/>
      </w:pPr>
      <w:r>
        <w:rPr>
          <w:b/>
          <w:lang w:val="en-US"/>
        </w:rPr>
        <w:t xml:space="preserve">Outputs:</w:t>
      </w:r>
      <w:r>
        <w:rPr>
          <w:lang w:val="en-US"/>
        </w:rPr>
        <w:t xml:space="preserve"> A reporting approach that can support contractor-level quarterly satisfaction visibility, together with an outline reporting view and data dictionary.</w:t>
      </w:r>
    </w:p>
    <w:p>
      <w:pPr>
        <w:pStyle w:val="Heading3"/>
        <w:outlineLvl w:val="2"/>
      </w:pPr>
      <w:r>
        <w:rPr>
          <w:lang w:val="en-US"/>
        </w:rPr>
        <w:t xml:space="preserve">Phase 4: Prioritise Action and Secure Board Direction</w:t>
      </w:r>
    </w:p>
    <w:p>
      <w:pPr>
        <w:pStyle w:val="Normal"/>
      </w:pPr>
      <w:r>
        <w:rPr>
          <w:b/>
          <w:lang w:val="en-US"/>
        </w:rPr>
        <w:t xml:space="preserve">Inputs:</w:t>
      </w:r>
      <w:r>
        <w:rPr>
          <w:lang w:val="en-US"/>
        </w:rPr>
        <w:t xml:space="preserve"> Measurement recommendation, reporting approach, stakeholder feedback, and identified service issues.</w:t>
      </w:r>
    </w:p>
    <w:p>
      <w:pPr>
        <w:pStyle w:val="Normal"/>
      </w:pPr>
      <w:r>
        <w:rPr>
          <w:b/>
          <w:lang w:val="en-US"/>
        </w:rPr>
        <w:t xml:space="preserve">Activities:</w:t>
      </w:r>
      <w:r>
        <w:rPr>
          <w:lang w:val="en-US"/>
        </w:rPr>
        <w:t xml:space="preserve"> We will work with Harbourside to identify three practical changes for the repairs team to implement during the first six months. We will prepare the board recommendation and supporting material. In week nine, the Engagement Director will present the recommendation to Harbourside's board.</w:t>
      </w:r>
    </w:p>
    <w:p>
      <w:pPr>
        <w:pStyle w:val="Normal"/>
      </w:pPr>
      <w:r>
        <w:rPr>
          <w:b/>
          <w:lang w:val="en-US"/>
        </w:rPr>
        <w:t xml:space="preserve">Outputs:</w:t>
      </w:r>
      <w:r>
        <w:rPr>
          <w:lang w:val="en-US"/>
        </w:rPr>
        <w:t xml:space="preserve"> A six-month action priority set, board presentation, and confirmed direction for implementation.</w:t>
      </w:r>
    </w:p>
    <w:p>
      <w:pPr>
        <w:pStyle w:val="Heading3"/>
        <w:outlineLvl w:val="2"/>
      </w:pPr>
      <w:r>
        <w:rPr>
          <w:lang w:val="en-US"/>
        </w:rPr>
        <w:t xml:space="preserve">Phase 5: Handover and Close</w:t>
      </w:r>
    </w:p>
    <w:p>
      <w:pPr>
        <w:pStyle w:val="Normal"/>
      </w:pPr>
      <w:r>
        <w:rPr>
          <w:b/>
          <w:lang w:val="en-US"/>
        </w:rPr>
        <w:t xml:space="preserve">Inputs:</w:t>
      </w:r>
      <w:r>
        <w:rPr>
          <w:lang w:val="en-US"/>
        </w:rPr>
        <w:t xml:space="preserve"> Board feedback and final Harbourside comments.</w:t>
      </w:r>
    </w:p>
    <w:p>
      <w:pPr>
        <w:pStyle w:val="Normal"/>
      </w:pPr>
      <w:r>
        <w:rPr>
          <w:b/>
          <w:lang w:val="en-US"/>
        </w:rPr>
        <w:t xml:space="preserve">Activities:</w:t>
      </w:r>
      <w:r>
        <w:rPr>
          <w:lang w:val="en-US"/>
        </w:rPr>
        <w:t xml:space="preserve"> We will finalise the advisory outputs, demonstrate each deliverable to Harbourside's nominated approver, and address material issues identified against acceptance criteria agreed in discovery.</w:t>
      </w:r>
    </w:p>
    <w:p>
      <w:pPr>
        <w:pStyle w:val="Normal"/>
      </w:pPr>
      <w:r>
        <w:rPr>
          <w:b/>
          <w:lang w:val="en-US"/>
        </w:rPr>
        <w:t xml:space="preserve">Outputs:</w:t>
      </w:r>
      <w:r>
        <w:rPr>
          <w:lang w:val="en-US"/>
        </w:rPr>
        <w:t xml:space="preserve"> Final handover pack and completed advisory engagement.</w:t>
      </w:r>
    </w:p>
    <w:p>
      <w:pPr>
        <w:pStyle w:val="Heading2"/>
        <w:outlineLvl w:val="1"/>
      </w:pPr>
      <w:r>
        <w:rPr>
          <w:lang w:val="en-US"/>
        </w:rPr>
        <w:t xml:space="preserve">Project Phases &amp; Deliverables</w:t>
      </w:r>
    </w:p>
    <w:tbl>
      <w:tblPr>
        <w:tblW w:w="9026" w:type="dxa"/>
        <w:tblInd w:w="0" w:type="dxa"/>
        <w:tblBorders>
          <w:top w:val="nil"/>
          <w:left w:val="nil"/>
          <w:bottom w:val="single" w:color="D3DCDF" w:sz="6"/>
          <w:right w:val="nil"/>
          <w:insideH w:val="single" w:color="D3DCDF" w:sz="6"/>
          <w:insideV w:val="nil"/>
        </w:tblBorders>
        <w:tblLayout w:type="fixed"/>
        <w:tblCellMar>
          <w:top w:w="93" w:type="dxa"/>
          <w:left w:w="93" w:type="dxa"/>
          <w:bottom w:w="93" w:type="dxa"/>
          <w:right w:w="93" w:type="dxa"/>
        </w:tblCellMar>
      </w:tblPr>
      <w:tblGrid>
        <w:gridCol w:w="2257"/>
        <w:gridCol w:w="2257"/>
        <w:gridCol w:w="2256"/>
        <w:gridCol w:w="2256"/>
      </w:tblGrid>
      <w:tr>
        <w:trPr>
          <w:cantSplit/>
          <w:tblHeader/>
        </w:trPr>
        <w:tc>
          <w:tcPr>
            <w:tcW w:w="2257" w:type="dxa"/>
            <w:tcBorders>
              <w:bottom w:val="single" w:color="2D3748" w:sz="13" w:space="0"/>
            </w:tcBorders>
            <w:tcMar>
              <w:left w:w="0" w:type="dxa"/>
            </w:tcMar>
          </w:tcPr>
          <w:p>
            <w:pPr>
              <w:pStyle w:val="TableHeading"/>
              <w:spacing w:before="0" w:after="0" w:line="240" w:lineRule="auto"/>
              <w:ind w:left="0" w:right="0" w:firstLine="0"/>
              <w:jc w:val="left"/>
            </w:pPr>
            <w:r>
              <w:rPr>
                <w:b/>
                <w:lang w:val="en-US"/>
              </w:rPr>
              <w:t xml:space="preserve">Phase</w:t>
            </w:r>
          </w:p>
        </w:tc>
        <w:tc>
          <w:tcPr>
            <w:tcW w:w="2257" w:type="dxa"/>
            <w:tcBorders>
              <w:bottom w:val="single" w:color="2D3748" w:sz="13" w:space="0"/>
            </w:tcBorders>
          </w:tcPr>
          <w:p>
            <w:pPr>
              <w:pStyle w:val="TableHeading"/>
              <w:spacing w:before="0" w:after="0" w:line="240" w:lineRule="auto"/>
              <w:ind w:left="0" w:right="0" w:firstLine="0"/>
              <w:jc w:val="left"/>
            </w:pPr>
            <w:r>
              <w:rPr>
                <w:b/>
                <w:lang w:val="en-US"/>
              </w:rPr>
              <w:t xml:space="preserve">Deliverable</w:t>
            </w:r>
          </w:p>
        </w:tc>
        <w:tc>
          <w:tcPr>
            <w:tcW w:w="2256" w:type="dxa"/>
            <w:tcBorders>
              <w:bottom w:val="single" w:color="2D3748" w:sz="13" w:space="0"/>
            </w:tcBorders>
          </w:tcPr>
          <w:p>
            <w:pPr>
              <w:pStyle w:val="TableHeading"/>
              <w:spacing w:before="0" w:after="0" w:line="240" w:lineRule="auto"/>
              <w:ind w:left="0" w:right="0" w:firstLine="0"/>
              <w:jc w:val="left"/>
            </w:pPr>
            <w:r>
              <w:rPr>
                <w:b/>
                <w:lang w:val="en-US"/>
              </w:rPr>
              <w:t xml:space="preserve">What It Is</w:t>
            </w:r>
          </w:p>
        </w:tc>
        <w:tc>
          <w:tcPr>
            <w:tcW w:w="2256" w:type="dxa"/>
            <w:tcBorders>
              <w:bottom w:val="single" w:color="2D3748" w:sz="13" w:space="0"/>
            </w:tcBorders>
          </w:tcPr>
          <w:p>
            <w:pPr>
              <w:pStyle w:val="TableHeading"/>
              <w:spacing w:before="0" w:after="0" w:line="240" w:lineRule="auto"/>
              <w:ind w:left="0" w:right="0" w:firstLine="0"/>
              <w:jc w:val="left"/>
            </w:pPr>
            <w:r>
              <w:rPr>
                <w:b/>
                <w:lang w:val="en-US"/>
              </w:rPr>
              <w:t xml:space="preserve">Why It Matters</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1. Discovery and Baseline</w:t>
            </w:r>
          </w:p>
        </w:tc>
        <w:tc>
          <w:tcPr>
            <w:tcW w:w="2257" w:type="dxa"/>
          </w:tcPr>
          <w:p>
            <w:pPr>
              <w:pStyle w:val="TableText"/>
              <w:spacing w:before="0" w:after="0" w:line="240" w:lineRule="auto"/>
              <w:ind w:left="0" w:right="0" w:firstLine="0"/>
              <w:jc w:val="left"/>
            </w:pPr>
            <w:r>
              <w:rPr>
                <w:lang w:val="en-US"/>
              </w:rPr>
              <w:t xml:space="preserve">Current-State Assessment</w:t>
            </w:r>
          </w:p>
        </w:tc>
        <w:tc>
          <w:tcPr>
            <w:tcW w:w="2256" w:type="dxa"/>
          </w:tcPr>
          <w:p>
            <w:pPr>
              <w:pStyle w:val="TableText"/>
              <w:spacing w:before="0" w:after="0" w:line="240" w:lineRule="auto"/>
              <w:ind w:left="0" w:right="0" w:firstLine="0"/>
              <w:jc w:val="left"/>
            </w:pPr>
            <w:r>
              <w:rPr>
                <w:lang w:val="en-US"/>
              </w:rPr>
              <w:t xml:space="preserve">A concise assessment of the current survey, survey process, response data, ownership arrangements, and available repairs data.</w:t>
            </w:r>
          </w:p>
        </w:tc>
        <w:tc>
          <w:tcPr>
            <w:tcW w:w="2256" w:type="dxa"/>
          </w:tcPr>
          <w:p>
            <w:pPr>
              <w:pStyle w:val="TableText"/>
              <w:spacing w:before="0" w:after="0" w:line="240" w:lineRule="auto"/>
              <w:ind w:left="0" w:right="0" w:firstLine="0"/>
              <w:jc w:val="left"/>
            </w:pPr>
            <w:r>
              <w:rPr>
                <w:lang w:val="en-US"/>
              </w:rPr>
              <w:t xml:space="preserve">It establishes a shared evidence base and identifies why current results are not consistently driving action.</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1. Discovery and Baseline</w:t>
            </w:r>
          </w:p>
        </w:tc>
        <w:tc>
          <w:tcPr>
            <w:tcW w:w="2257" w:type="dxa"/>
          </w:tcPr>
          <w:p>
            <w:pPr>
              <w:pStyle w:val="TableText"/>
              <w:spacing w:before="0" w:after="0" w:line="240" w:lineRule="auto"/>
              <w:ind w:left="0" w:right="0" w:firstLine="0"/>
              <w:jc w:val="left"/>
            </w:pPr>
            <w:r>
              <w:rPr>
                <w:lang w:val="en-US"/>
              </w:rPr>
              <w:t xml:space="preserve">Data Inventory and Data Protection Impact Assessment</w:t>
            </w:r>
          </w:p>
        </w:tc>
        <w:tc>
          <w:tcPr>
            <w:tcW w:w="2256" w:type="dxa"/>
          </w:tcPr>
          <w:p>
            <w:pPr>
              <w:pStyle w:val="TableText"/>
              <w:spacing w:before="0" w:after="0" w:line="240" w:lineRule="auto"/>
              <w:ind w:left="0" w:right="0" w:firstLine="0"/>
              <w:jc w:val="left"/>
            </w:pPr>
            <w:r>
              <w:rPr>
                <w:lang w:val="en-US"/>
              </w:rPr>
              <w:t xml:space="preserve">A documented inventory of relevant data and a written data protection impact assessment for client sign-off before personal data moves.</w:t>
            </w:r>
          </w:p>
        </w:tc>
        <w:tc>
          <w:tcPr>
            <w:tcW w:w="2256" w:type="dxa"/>
          </w:tcPr>
          <w:p>
            <w:pPr>
              <w:pStyle w:val="TableText"/>
              <w:spacing w:before="0" w:after="0" w:line="240" w:lineRule="auto"/>
              <w:ind w:left="0" w:right="0" w:firstLine="0"/>
              <w:jc w:val="left"/>
            </w:pPr>
            <w:r>
              <w:rPr>
                <w:lang w:val="en-US"/>
              </w:rPr>
              <w:t xml:space="preserve">It provides a controlled basis for using relevant information in the engagement.</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2. Survey and Measurement Design</w:t>
            </w:r>
          </w:p>
        </w:tc>
        <w:tc>
          <w:tcPr>
            <w:tcW w:w="2257" w:type="dxa"/>
          </w:tcPr>
          <w:p>
            <w:pPr>
              <w:pStyle w:val="TableText"/>
              <w:spacing w:before="0" w:after="0" w:line="240" w:lineRule="auto"/>
              <w:ind w:left="0" w:right="0" w:firstLine="0"/>
              <w:jc w:val="left"/>
            </w:pPr>
            <w:r>
              <w:rPr>
                <w:lang w:val="en-US"/>
              </w:rPr>
              <w:t xml:space="preserve">Repairs Satisfaction Measurement Recommendation</w:t>
            </w:r>
          </w:p>
        </w:tc>
        <w:tc>
          <w:tcPr>
            <w:tcW w:w="2256" w:type="dxa"/>
          </w:tcPr>
          <w:p>
            <w:pPr>
              <w:pStyle w:val="TableText"/>
              <w:spacing w:before="0" w:after="0" w:line="240" w:lineRule="auto"/>
              <w:ind w:left="0" w:right="0" w:firstLine="0"/>
              <w:jc w:val="left"/>
            </w:pPr>
            <w:r>
              <w:rPr>
                <w:lang w:val="en-US"/>
              </w:rPr>
              <w:t xml:space="preserve">A recommendation for measuring repairs satisfaction across the two contractors and Harbourside's in-house repairs team, including the required contractor attribution route.</w:t>
            </w:r>
          </w:p>
        </w:tc>
        <w:tc>
          <w:tcPr>
            <w:tcW w:w="2256" w:type="dxa"/>
          </w:tcPr>
          <w:p>
            <w:pPr>
              <w:pStyle w:val="TableText"/>
              <w:spacing w:before="0" w:after="0" w:line="240" w:lineRule="auto"/>
              <w:ind w:left="0" w:right="0" w:firstLine="0"/>
              <w:jc w:val="left"/>
            </w:pPr>
            <w:r>
              <w:rPr>
                <w:lang w:val="en-US"/>
              </w:rPr>
              <w:t xml:space="preserve">It enables comparable contractor-level satisfaction reporting.</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2. Survey and Measurement Design</w:t>
            </w:r>
          </w:p>
        </w:tc>
        <w:tc>
          <w:tcPr>
            <w:tcW w:w="2257" w:type="dxa"/>
          </w:tcPr>
          <w:p>
            <w:pPr>
              <w:pStyle w:val="TableText"/>
              <w:spacing w:before="0" w:after="0" w:line="240" w:lineRule="auto"/>
              <w:ind w:left="0" w:right="0" w:firstLine="0"/>
              <w:jc w:val="left"/>
            </w:pPr>
            <w:r>
              <w:rPr>
                <w:lang w:val="en-US"/>
              </w:rPr>
              <w:t xml:space="preserve">Survey Review Findings</w:t>
            </w:r>
          </w:p>
        </w:tc>
        <w:tc>
          <w:tcPr>
            <w:tcW w:w="2256" w:type="dxa"/>
          </w:tcPr>
          <w:p>
            <w:pPr>
              <w:pStyle w:val="TableText"/>
              <w:spacing w:before="0" w:after="0" w:line="240" w:lineRule="auto"/>
              <w:ind w:left="0" w:right="0" w:firstLine="0"/>
              <w:jc w:val="left"/>
            </w:pPr>
            <w:r>
              <w:rPr>
                <w:lang w:val="en-US"/>
              </w:rPr>
              <w:t xml:space="preserve">An assessment of the survey questions that have been unchanged since 2019 and the implications for future measurement.</w:t>
            </w:r>
          </w:p>
        </w:tc>
        <w:tc>
          <w:tcPr>
            <w:tcW w:w="2256" w:type="dxa"/>
          </w:tcPr>
          <w:p>
            <w:pPr>
              <w:pStyle w:val="TableText"/>
              <w:spacing w:before="0" w:after="0" w:line="240" w:lineRule="auto"/>
              <w:ind w:left="0" w:right="0" w:firstLine="0"/>
              <w:jc w:val="left"/>
            </w:pPr>
            <w:r>
              <w:rPr>
                <w:lang w:val="en-US"/>
              </w:rPr>
              <w:t xml:space="preserve">It ensures the recommended measurement approach is grounded in the current survey's strengths and limitations.</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3. Reporting Design</w:t>
            </w:r>
          </w:p>
        </w:tc>
        <w:tc>
          <w:tcPr>
            <w:tcW w:w="2257" w:type="dxa"/>
          </w:tcPr>
          <w:p>
            <w:pPr>
              <w:pStyle w:val="TableText"/>
              <w:spacing w:before="0" w:after="0" w:line="240" w:lineRule="auto"/>
              <w:ind w:left="0" w:right="0" w:firstLine="0"/>
              <w:jc w:val="left"/>
            </w:pPr>
            <w:r>
              <w:rPr>
                <w:lang w:val="en-US"/>
              </w:rPr>
              <w:t xml:space="preserve">Repairs Team and Board Reporting Approach</w:t>
            </w:r>
          </w:p>
        </w:tc>
        <w:tc>
          <w:tcPr>
            <w:tcW w:w="2256" w:type="dxa"/>
          </w:tcPr>
          <w:p>
            <w:pPr>
              <w:pStyle w:val="TableText"/>
              <w:spacing w:before="0" w:after="0" w:line="240" w:lineRule="auto"/>
              <w:ind w:left="0" w:right="0" w:firstLine="0"/>
              <w:jc w:val="left"/>
            </w:pPr>
            <w:r>
              <w:rPr>
                <w:lang w:val="en-US"/>
              </w:rPr>
              <w:t xml:space="preserve">A defined reporting approach covering measures, reporting audiences, ownership, cadence, and use of insight.</w:t>
            </w:r>
          </w:p>
        </w:tc>
        <w:tc>
          <w:tcPr>
            <w:tcW w:w="2256" w:type="dxa"/>
          </w:tcPr>
          <w:p>
            <w:pPr>
              <w:pStyle w:val="TableText"/>
              <w:spacing w:before="0" w:after="0" w:line="240" w:lineRule="auto"/>
              <w:ind w:left="0" w:right="0" w:firstLine="0"/>
              <w:jc w:val="left"/>
            </w:pPr>
            <w:r>
              <w:rPr>
                <w:lang w:val="en-US"/>
              </w:rPr>
              <w:t xml:space="preserve">It gives the repairs team and board a consistent route from tenant feedback to accountable action.</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3. Reporting Design</w:t>
            </w:r>
          </w:p>
        </w:tc>
        <w:tc>
          <w:tcPr>
            <w:tcW w:w="2257" w:type="dxa"/>
          </w:tcPr>
          <w:p>
            <w:pPr>
              <w:pStyle w:val="TableText"/>
              <w:spacing w:before="0" w:after="0" w:line="240" w:lineRule="auto"/>
              <w:ind w:left="0" w:right="0" w:firstLine="0"/>
              <w:jc w:val="left"/>
            </w:pPr>
            <w:r>
              <w:rPr>
                <w:lang w:val="en-US"/>
              </w:rPr>
              <w:t xml:space="preserve">Data Dictionary</w:t>
            </w:r>
          </w:p>
        </w:tc>
        <w:tc>
          <w:tcPr>
            <w:tcW w:w="2256" w:type="dxa"/>
          </w:tcPr>
          <w:p>
            <w:pPr>
              <w:pStyle w:val="TableText"/>
              <w:spacing w:before="0" w:after="0" w:line="240" w:lineRule="auto"/>
              <w:ind w:left="0" w:right="0" w:firstLine="0"/>
              <w:jc w:val="left"/>
            </w:pPr>
            <w:r>
              <w:rPr>
                <w:lang w:val="en-US"/>
              </w:rPr>
              <w:t xml:space="preserve">A documented common layout and data definitions for the information supporting the recommended reporting approach.</w:t>
            </w:r>
          </w:p>
        </w:tc>
        <w:tc>
          <w:tcPr>
            <w:tcW w:w="2256" w:type="dxa"/>
          </w:tcPr>
          <w:p>
            <w:pPr>
              <w:pStyle w:val="TableText"/>
              <w:spacing w:before="0" w:after="0" w:line="240" w:lineRule="auto"/>
              <w:ind w:left="0" w:right="0" w:firstLine="0"/>
              <w:jc w:val="left"/>
            </w:pPr>
            <w:r>
              <w:rPr>
                <w:lang w:val="en-US"/>
              </w:rPr>
              <w:t xml:space="preserve">It creates clarity over how measures are defined and used.</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4. Action and Board Direction</w:t>
            </w:r>
          </w:p>
        </w:tc>
        <w:tc>
          <w:tcPr>
            <w:tcW w:w="2257" w:type="dxa"/>
          </w:tcPr>
          <w:p>
            <w:pPr>
              <w:pStyle w:val="TableText"/>
              <w:spacing w:before="0" w:after="0" w:line="240" w:lineRule="auto"/>
              <w:ind w:left="0" w:right="0" w:firstLine="0"/>
              <w:jc w:val="left"/>
            </w:pPr>
            <w:r>
              <w:rPr>
                <w:lang w:val="en-US"/>
              </w:rPr>
              <w:t xml:space="preserve">Six-Month Repairs Improvement Priorities</w:t>
            </w:r>
          </w:p>
        </w:tc>
        <w:tc>
          <w:tcPr>
            <w:tcW w:w="2256" w:type="dxa"/>
          </w:tcPr>
          <w:p>
            <w:pPr>
              <w:pStyle w:val="TableText"/>
              <w:spacing w:before="0" w:after="0" w:line="240" w:lineRule="auto"/>
              <w:ind w:left="0" w:right="0" w:firstLine="0"/>
              <w:jc w:val="left"/>
            </w:pPr>
            <w:r>
              <w:rPr>
                <w:lang w:val="en-US"/>
              </w:rPr>
              <w:t xml:space="preserve">Three prioritised changes for the repairs team to make during the first six months.</w:t>
            </w:r>
          </w:p>
        </w:tc>
        <w:tc>
          <w:tcPr>
            <w:tcW w:w="2256" w:type="dxa"/>
          </w:tcPr>
          <w:p>
            <w:pPr>
              <w:pStyle w:val="TableText"/>
              <w:spacing w:before="0" w:after="0" w:line="240" w:lineRule="auto"/>
              <w:ind w:left="0" w:right="0" w:firstLine="0"/>
              <w:jc w:val="left"/>
            </w:pPr>
            <w:r>
              <w:rPr>
                <w:lang w:val="en-US"/>
              </w:rPr>
              <w:t xml:space="preserve">It converts survey insight into practical service improvement activity.</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4. Action and Board Direction</w:t>
            </w:r>
          </w:p>
        </w:tc>
        <w:tc>
          <w:tcPr>
            <w:tcW w:w="2257" w:type="dxa"/>
          </w:tcPr>
          <w:p>
            <w:pPr>
              <w:pStyle w:val="TableText"/>
              <w:spacing w:before="0" w:after="0" w:line="240" w:lineRule="auto"/>
              <w:ind w:left="0" w:right="0" w:firstLine="0"/>
              <w:jc w:val="left"/>
            </w:pPr>
            <w:r>
              <w:rPr>
                <w:lang w:val="en-US"/>
              </w:rPr>
              <w:t xml:space="preserve">Board Recommendation and Presentation</w:t>
            </w:r>
          </w:p>
        </w:tc>
        <w:tc>
          <w:tcPr>
            <w:tcW w:w="2256" w:type="dxa"/>
          </w:tcPr>
          <w:p>
            <w:pPr>
              <w:pStyle w:val="TableText"/>
              <w:spacing w:before="0" w:after="0" w:line="240" w:lineRule="auto"/>
              <w:ind w:left="0" w:right="0" w:firstLine="0"/>
              <w:jc w:val="left"/>
            </w:pPr>
            <w:r>
              <w:rPr>
                <w:lang w:val="en-US"/>
              </w:rPr>
              <w:t xml:space="preserve">A board-ready recommendation and presentation delivered by the Engagement Director in week nine.</w:t>
            </w:r>
          </w:p>
        </w:tc>
        <w:tc>
          <w:tcPr>
            <w:tcW w:w="2256" w:type="dxa"/>
          </w:tcPr>
          <w:p>
            <w:pPr>
              <w:pStyle w:val="TableText"/>
              <w:spacing w:before="0" w:after="0" w:line="240" w:lineRule="auto"/>
              <w:ind w:left="0" w:right="0" w:firstLine="0"/>
              <w:jc w:val="left"/>
            </w:pPr>
            <w:r>
              <w:rPr>
                <w:lang w:val="en-US"/>
              </w:rPr>
              <w:t xml:space="preserve">It supports informed board oversight of repairs satisfaction by contractor each quarter.</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5. Handover</w:t>
            </w:r>
          </w:p>
        </w:tc>
        <w:tc>
          <w:tcPr>
            <w:tcW w:w="2257" w:type="dxa"/>
          </w:tcPr>
          <w:p>
            <w:pPr>
              <w:pStyle w:val="TableText"/>
              <w:spacing w:before="0" w:after="0" w:line="240" w:lineRule="auto"/>
              <w:ind w:left="0" w:right="0" w:firstLine="0"/>
              <w:jc w:val="left"/>
            </w:pPr>
            <w:r>
              <w:rPr>
                <w:lang w:val="en-US"/>
              </w:rPr>
              <w:t xml:space="preserve">Final Advisory Handover Pack</w:t>
            </w:r>
          </w:p>
        </w:tc>
        <w:tc>
          <w:tcPr>
            <w:tcW w:w="2256" w:type="dxa"/>
          </w:tcPr>
          <w:p>
            <w:pPr>
              <w:pStyle w:val="TableText"/>
              <w:spacing w:before="0" w:after="0" w:line="240" w:lineRule="auto"/>
              <w:ind w:left="0" w:right="0" w:firstLine="0"/>
              <w:jc w:val="left"/>
            </w:pPr>
            <w:r>
              <w:rPr>
                <w:lang w:val="en-US"/>
              </w:rPr>
              <w:t xml:space="preserve">The finalised set of agreed outputs, following review and acceptance activity.</w:t>
            </w:r>
          </w:p>
        </w:tc>
        <w:tc>
          <w:tcPr>
            <w:tcW w:w="2256" w:type="dxa"/>
          </w:tcPr>
          <w:p>
            <w:pPr>
              <w:pStyle w:val="TableText"/>
              <w:spacing w:before="0" w:after="0" w:line="240" w:lineRule="auto"/>
              <w:ind w:left="0" w:right="0" w:firstLine="0"/>
              <w:jc w:val="left"/>
            </w:pPr>
            <w:r>
              <w:rPr>
                <w:lang w:val="en-US"/>
              </w:rPr>
              <w:t xml:space="preserve">It leaves Harbourside with a practical basis for implementation after the engagement.</w:t>
            </w:r>
          </w:p>
        </w:tc>
      </w:tr>
    </w:tbl>
    <w:p>
      <w:pPr>
        <w:pStyle w:val="Heading2"/>
        <w:outlineLvl w:val="1"/>
      </w:pPr>
      <w:r>
        <w:rPr>
          <w:lang w:val="en-US"/>
        </w:rPr>
        <w:t xml:space="preserve">Team &amp; Expertise</w:t>
      </w:r>
    </w:p>
    <w:p>
      <w:pPr>
        <w:pStyle w:val="Normal"/>
      </w:pPr>
      <w:r>
        <w:rPr>
          <w:lang w:val="en-US"/>
        </w:rPr>
        <w:t xml:space="preserve">Our delivery team combines public-sector research, survey methodology, data engineering, and dashboard expertise.</w:t>
      </w:r>
    </w:p>
    <w:tbl>
      <w:tblPr>
        <w:tblW w:w="9026" w:type="dxa"/>
        <w:tblInd w:w="0" w:type="dxa"/>
        <w:tblBorders>
          <w:top w:val="nil"/>
          <w:left w:val="nil"/>
          <w:bottom w:val="single" w:color="D3DCDF" w:sz="6"/>
          <w:right w:val="nil"/>
          <w:insideH w:val="single" w:color="D3DCDF" w:sz="6"/>
          <w:insideV w:val="nil"/>
        </w:tblBorders>
        <w:tblLayout w:type="fixed"/>
        <w:tblCellMar>
          <w:top w:w="93" w:type="dxa"/>
          <w:left w:w="93" w:type="dxa"/>
          <w:bottom w:w="93" w:type="dxa"/>
          <w:right w:w="93" w:type="dxa"/>
        </w:tblCellMar>
      </w:tblPr>
      <w:tblGrid>
        <w:gridCol w:w="3009"/>
        <w:gridCol w:w="3009"/>
        <w:gridCol w:w="3008"/>
      </w:tblGrid>
      <w:tr>
        <w:trPr>
          <w:cantSplit/>
          <w:tblHeader/>
        </w:trPr>
        <w:tc>
          <w:tcPr>
            <w:tcW w:w="3009" w:type="dxa"/>
            <w:tcBorders>
              <w:bottom w:val="single" w:color="2D3748" w:sz="13" w:space="0"/>
            </w:tcBorders>
            <w:tcMar>
              <w:left w:w="0" w:type="dxa"/>
            </w:tcMar>
          </w:tcPr>
          <w:p>
            <w:pPr>
              <w:pStyle w:val="TableHeading"/>
              <w:spacing w:before="0" w:after="0" w:line="240" w:lineRule="auto"/>
              <w:ind w:left="0" w:right="0" w:firstLine="0"/>
              <w:jc w:val="left"/>
            </w:pPr>
            <w:r>
              <w:rPr>
                <w:b/>
                <w:lang w:val="en-US"/>
              </w:rPr>
              <w:t xml:space="preserve">Team Member</w:t>
            </w:r>
          </w:p>
        </w:tc>
        <w:tc>
          <w:tcPr>
            <w:tcW w:w="3009" w:type="dxa"/>
            <w:tcBorders>
              <w:bottom w:val="single" w:color="2D3748" w:sz="13" w:space="0"/>
            </w:tcBorders>
          </w:tcPr>
          <w:p>
            <w:pPr>
              <w:pStyle w:val="TableHeading"/>
              <w:spacing w:before="0" w:after="0" w:line="240" w:lineRule="auto"/>
              <w:ind w:left="0" w:right="0" w:firstLine="0"/>
              <w:jc w:val="left"/>
            </w:pPr>
            <w:r>
              <w:rPr>
                <w:b/>
                <w:lang w:val="en-US"/>
              </w:rPr>
              <w:t xml:space="preserve">Role</w:t>
            </w:r>
          </w:p>
        </w:tc>
        <w:tc>
          <w:tcPr>
            <w:tcW w:w="3008" w:type="dxa"/>
            <w:tcBorders>
              <w:bottom w:val="single" w:color="2D3748" w:sz="13" w:space="0"/>
            </w:tcBorders>
          </w:tcPr>
          <w:p>
            <w:pPr>
              <w:pStyle w:val="TableHeading"/>
              <w:spacing w:before="0" w:after="0" w:line="240" w:lineRule="auto"/>
              <w:ind w:left="0" w:right="0" w:firstLine="0"/>
              <w:jc w:val="left"/>
            </w:pPr>
            <w:r>
              <w:rPr>
                <w:b/>
                <w:lang w:val="en-US"/>
              </w:rPr>
              <w:t xml:space="preserve">Relevant Experience and Responsibility</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Imogen Farrow</w:t>
            </w:r>
          </w:p>
        </w:tc>
        <w:tc>
          <w:tcPr>
            <w:tcW w:w="3009" w:type="dxa"/>
          </w:tcPr>
          <w:p>
            <w:pPr>
              <w:pStyle w:val="TableText"/>
              <w:spacing w:before="0" w:after="0" w:line="240" w:lineRule="auto"/>
              <w:ind w:left="0" w:right="0" w:firstLine="0"/>
              <w:jc w:val="left"/>
            </w:pPr>
            <w:r>
              <w:rPr>
                <w:lang w:val="en-US"/>
              </w:rPr>
              <w:t xml:space="preserve">Engagement Director</w:t>
            </w:r>
          </w:p>
        </w:tc>
        <w:tc>
          <w:tcPr>
            <w:tcW w:w="3008" w:type="dxa"/>
          </w:tcPr>
          <w:p>
            <w:pPr>
              <w:pStyle w:val="TableText"/>
              <w:spacing w:before="0" w:after="0" w:line="240" w:lineRule="auto"/>
              <w:ind w:left="0" w:right="0" w:firstLine="0"/>
              <w:jc w:val="left"/>
            </w:pPr>
            <w:r>
              <w:rPr>
                <w:lang w:val="en-US"/>
              </w:rPr>
              <w:t xml:space="preserve">Sixteen years in public-sector research. Leads every contract and signs off every report. Imogen will lead this engagement and present to Harbourside's board in week nine.</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Dev Okonkwo</w:t>
            </w:r>
          </w:p>
        </w:tc>
        <w:tc>
          <w:tcPr>
            <w:tcW w:w="3009" w:type="dxa"/>
          </w:tcPr>
          <w:p>
            <w:pPr>
              <w:pStyle w:val="TableText"/>
              <w:spacing w:before="0" w:after="0" w:line="240" w:lineRule="auto"/>
              <w:ind w:left="0" w:right="0" w:firstLine="0"/>
              <w:jc w:val="left"/>
            </w:pPr>
            <w:r>
              <w:rPr>
                <w:lang w:val="en-US"/>
              </w:rPr>
              <w:t xml:space="preserve">Lead Data Engineer</w:t>
            </w:r>
          </w:p>
        </w:tc>
        <w:tc>
          <w:tcPr>
            <w:tcW w:w="3008" w:type="dxa"/>
          </w:tcPr>
          <w:p>
            <w:pPr>
              <w:pStyle w:val="TableText"/>
              <w:spacing w:before="0" w:after="0" w:line="240" w:lineRule="auto"/>
              <w:ind w:left="0" w:right="0" w:firstLine="0"/>
              <w:jc w:val="left"/>
            </w:pPr>
            <w:r>
              <w:rPr>
                <w:lang w:val="en-US"/>
              </w:rPr>
              <w:t xml:space="preserve">Eleven years building reporting stores. Dev owns data protection impact assessments for Larkfield projects and will lead the data inventory and data-structure work.</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Sunniva Hale</w:t>
            </w:r>
          </w:p>
        </w:tc>
        <w:tc>
          <w:tcPr>
            <w:tcW w:w="3009" w:type="dxa"/>
          </w:tcPr>
          <w:p>
            <w:pPr>
              <w:pStyle w:val="TableText"/>
              <w:spacing w:before="0" w:after="0" w:line="240" w:lineRule="auto"/>
              <w:ind w:left="0" w:right="0" w:firstLine="0"/>
              <w:jc w:val="left"/>
            </w:pPr>
            <w:r>
              <w:rPr>
                <w:lang w:val="en-US"/>
              </w:rPr>
              <w:t xml:space="preserve">Senior Survey Analyst</w:t>
            </w:r>
          </w:p>
        </w:tc>
        <w:tc>
          <w:tcPr>
            <w:tcW w:w="3008" w:type="dxa"/>
          </w:tcPr>
          <w:p>
            <w:pPr>
              <w:pStyle w:val="TableText"/>
              <w:spacing w:before="0" w:after="0" w:line="240" w:lineRule="auto"/>
              <w:ind w:left="0" w:right="0" w:firstLine="0"/>
              <w:jc w:val="left"/>
            </w:pPr>
            <w:r>
              <w:rPr>
                <w:lang w:val="en-US"/>
              </w:rPr>
              <w:t xml:space="preserve">Nine years designing resident and tenant surveys and holds a postgraduate diploma in survey methodology. Sunniva will lead the survey review and measurement recommendation.</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Tomasz Wren</w:t>
            </w:r>
          </w:p>
        </w:tc>
        <w:tc>
          <w:tcPr>
            <w:tcW w:w="3009" w:type="dxa"/>
          </w:tcPr>
          <w:p>
            <w:pPr>
              <w:pStyle w:val="TableText"/>
              <w:spacing w:before="0" w:after="0" w:line="240" w:lineRule="auto"/>
              <w:ind w:left="0" w:right="0" w:firstLine="0"/>
              <w:jc w:val="left"/>
            </w:pPr>
            <w:r>
              <w:rPr>
                <w:lang w:val="en-US"/>
              </w:rPr>
              <w:t xml:space="preserve">Dashboard Developer</w:t>
            </w:r>
          </w:p>
        </w:tc>
        <w:tc>
          <w:tcPr>
            <w:tcW w:w="3008" w:type="dxa"/>
          </w:tcPr>
          <w:p>
            <w:pPr>
              <w:pStyle w:val="TableText"/>
              <w:spacing w:before="0" w:after="0" w:line="240" w:lineRule="auto"/>
              <w:ind w:left="0" w:right="0" w:firstLine="0"/>
              <w:jc w:val="left"/>
            </w:pPr>
            <w:r>
              <w:rPr>
                <w:lang w:val="en-US"/>
              </w:rPr>
              <w:t xml:space="preserve">Seven years building dashboards. Tomasz owns accessibility testing against WCAG 2.2 level AA and will support the reporting approach design.</w:t>
            </w:r>
          </w:p>
        </w:tc>
      </w:tr>
    </w:tbl>
    <w:p>
      <w:pPr>
        <w:pStyle w:val="Heading2"/>
        <w:outlineLvl w:val="1"/>
      </w:pPr>
      <w:r>
        <w:rPr>
          <w:lang w:val="en-US"/>
        </w:rPr>
        <w:t xml:space="preserve">Timeline</w:t>
      </w:r>
    </w:p>
    <w:p>
      <w:pPr>
        <w:pStyle w:val="Normal"/>
      </w:pPr>
      <w:r>
        <w:rPr>
          <w:lang w:val="en-US"/>
        </w:rPr>
        <w:t xml:space="preserve">The engagement will run for ten weeks. Harbourside's operations manager will be engaged for up to two days each week to support discovery, review, validation, and decision-making.</w:t>
      </w:r>
    </w:p>
    <w:tbl>
      <w:tblPr>
        <w:tblW w:w="9026" w:type="dxa"/>
        <w:tblInd w:w="0" w:type="dxa"/>
        <w:tblBorders>
          <w:top w:val="nil"/>
          <w:left w:val="nil"/>
          <w:bottom w:val="single" w:color="D3DCDF" w:sz="6"/>
          <w:right w:val="nil"/>
          <w:insideH w:val="single" w:color="D3DCDF" w:sz="6"/>
          <w:insideV w:val="nil"/>
        </w:tblBorders>
        <w:tblLayout w:type="fixed"/>
        <w:tblCellMar>
          <w:top w:w="93" w:type="dxa"/>
          <w:left w:w="93" w:type="dxa"/>
          <w:bottom w:w="93" w:type="dxa"/>
          <w:right w:w="93" w:type="dxa"/>
        </w:tblCellMar>
      </w:tblPr>
      <w:tblGrid>
        <w:gridCol w:w="3009"/>
        <w:gridCol w:w="3009"/>
        <w:gridCol w:w="3008"/>
      </w:tblGrid>
      <w:tr>
        <w:trPr>
          <w:cantSplit/>
          <w:tblHeader/>
        </w:trPr>
        <w:tc>
          <w:tcPr>
            <w:tcW w:w="3009" w:type="dxa"/>
            <w:tcBorders>
              <w:bottom w:val="single" w:color="2D3748" w:sz="13" w:space="0"/>
            </w:tcBorders>
            <w:tcMar>
              <w:left w:w="0" w:type="dxa"/>
            </w:tcMar>
          </w:tcPr>
          <w:p>
            <w:pPr>
              <w:pStyle w:val="TableHeading"/>
              <w:spacing w:before="0" w:after="0" w:line="240" w:lineRule="auto"/>
              <w:ind w:left="0" w:right="0" w:firstLine="0"/>
              <w:jc w:val="left"/>
            </w:pPr>
            <w:r>
              <w:rPr>
                <w:b/>
                <w:lang w:val="en-US"/>
              </w:rPr>
              <w:t xml:space="preserve">Week</w:t>
            </w:r>
          </w:p>
        </w:tc>
        <w:tc>
          <w:tcPr>
            <w:tcW w:w="3009" w:type="dxa"/>
            <w:tcBorders>
              <w:bottom w:val="single" w:color="2D3748" w:sz="13" w:space="0"/>
            </w:tcBorders>
          </w:tcPr>
          <w:p>
            <w:pPr>
              <w:pStyle w:val="TableHeading"/>
              <w:spacing w:before="0" w:after="0" w:line="240" w:lineRule="auto"/>
              <w:ind w:left="0" w:right="0" w:firstLine="0"/>
              <w:jc w:val="left"/>
            </w:pPr>
            <w:r>
              <w:rPr>
                <w:b/>
                <w:lang w:val="en-US"/>
              </w:rPr>
              <w:t xml:space="preserve">Primary Activity</w:t>
            </w:r>
          </w:p>
        </w:tc>
        <w:tc>
          <w:tcPr>
            <w:tcW w:w="3008" w:type="dxa"/>
            <w:tcBorders>
              <w:bottom w:val="single" w:color="2D3748" w:sz="13" w:space="0"/>
            </w:tcBorders>
          </w:tcPr>
          <w:p>
            <w:pPr>
              <w:pStyle w:val="TableHeading"/>
              <w:spacing w:before="0" w:after="0" w:line="240" w:lineRule="auto"/>
              <w:ind w:left="0" w:right="0" w:firstLine="0"/>
              <w:jc w:val="left"/>
            </w:pPr>
            <w:r>
              <w:rPr>
                <w:b/>
                <w:lang w:val="en-US"/>
              </w:rPr>
              <w:t xml:space="preserve">Key Output or Decision</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1</w:t>
            </w:r>
          </w:p>
        </w:tc>
        <w:tc>
          <w:tcPr>
            <w:tcW w:w="3009" w:type="dxa"/>
          </w:tcPr>
          <w:p>
            <w:pPr>
              <w:pStyle w:val="TableText"/>
              <w:spacing w:before="0" w:after="0" w:line="240" w:lineRule="auto"/>
              <w:ind w:left="0" w:right="0" w:firstLine="0"/>
              <w:jc w:val="left"/>
            </w:pPr>
            <w:r>
              <w:rPr>
                <w:lang w:val="en-US"/>
              </w:rPr>
              <w:t xml:space="preserve">Kickoff, stakeholder interviews, survey and data collection</w:t>
            </w:r>
          </w:p>
        </w:tc>
        <w:tc>
          <w:tcPr>
            <w:tcW w:w="3008" w:type="dxa"/>
          </w:tcPr>
          <w:p>
            <w:pPr>
              <w:pStyle w:val="TableText"/>
              <w:spacing w:before="0" w:after="0" w:line="240" w:lineRule="auto"/>
              <w:ind w:left="0" w:right="0" w:firstLine="0"/>
              <w:jc w:val="left"/>
            </w:pPr>
            <w:r>
              <w:rPr>
                <w:lang w:val="en-US"/>
              </w:rPr>
              <w:t xml:space="preserve">Engagement priorities confirmed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2</w:t>
            </w:r>
          </w:p>
        </w:tc>
        <w:tc>
          <w:tcPr>
            <w:tcW w:w="3009" w:type="dxa"/>
          </w:tcPr>
          <w:p>
            <w:pPr>
              <w:pStyle w:val="TableText"/>
              <w:spacing w:before="0" w:after="0" w:line="240" w:lineRule="auto"/>
              <w:ind w:left="0" w:right="0" w:firstLine="0"/>
              <w:jc w:val="left"/>
            </w:pPr>
            <w:r>
              <w:rPr>
                <w:lang w:val="en-US"/>
              </w:rPr>
              <w:t xml:space="preserve">Data inventory and data protection impact assessment</w:t>
            </w:r>
          </w:p>
        </w:tc>
        <w:tc>
          <w:tcPr>
            <w:tcW w:w="3008" w:type="dxa"/>
          </w:tcPr>
          <w:p>
            <w:pPr>
              <w:pStyle w:val="TableText"/>
              <w:spacing w:before="0" w:after="0" w:line="240" w:lineRule="auto"/>
              <w:ind w:left="0" w:right="0" w:firstLine="0"/>
              <w:jc w:val="left"/>
            </w:pPr>
            <w:r>
              <w:rPr>
                <w:lang w:val="en-US"/>
              </w:rPr>
              <w:t xml:space="preserve">Discovery baseline and client sign-off before any personal data moves</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3</w:t>
            </w:r>
          </w:p>
        </w:tc>
        <w:tc>
          <w:tcPr>
            <w:tcW w:w="3009" w:type="dxa"/>
          </w:tcPr>
          <w:p>
            <w:pPr>
              <w:pStyle w:val="TableText"/>
              <w:spacing w:before="0" w:after="0" w:line="240" w:lineRule="auto"/>
              <w:ind w:left="0" w:right="0" w:firstLine="0"/>
              <w:jc w:val="left"/>
            </w:pPr>
            <w:r>
              <w:rPr>
                <w:lang w:val="en-US"/>
              </w:rPr>
              <w:t xml:space="preserve">Current survey and response-process assessment</w:t>
            </w:r>
          </w:p>
        </w:tc>
        <w:tc>
          <w:tcPr>
            <w:tcW w:w="3008" w:type="dxa"/>
          </w:tcPr>
          <w:p>
            <w:pPr>
              <w:pStyle w:val="TableText"/>
              <w:spacing w:before="0" w:after="0" w:line="240" w:lineRule="auto"/>
              <w:ind w:left="0" w:right="0" w:firstLine="0"/>
              <w:jc w:val="left"/>
            </w:pPr>
            <w:r>
              <w:rPr>
                <w:lang w:val="en-US"/>
              </w:rPr>
              <w:t xml:space="preserve">Survey review findings</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4</w:t>
            </w:r>
          </w:p>
        </w:tc>
        <w:tc>
          <w:tcPr>
            <w:tcW w:w="3009" w:type="dxa"/>
          </w:tcPr>
          <w:p>
            <w:pPr>
              <w:pStyle w:val="TableText"/>
              <w:spacing w:before="0" w:after="0" w:line="240" w:lineRule="auto"/>
              <w:ind w:left="0" w:right="0" w:firstLine="0"/>
              <w:jc w:val="left"/>
            </w:pPr>
            <w:r>
              <w:rPr>
                <w:lang w:val="en-US"/>
              </w:rPr>
              <w:t xml:space="preserve">Contractor attribution and measurement design</w:t>
            </w:r>
          </w:p>
        </w:tc>
        <w:tc>
          <w:tcPr>
            <w:tcW w:w="3008" w:type="dxa"/>
          </w:tcPr>
          <w:p>
            <w:pPr>
              <w:pStyle w:val="TableText"/>
              <w:spacing w:before="0" w:after="0" w:line="240" w:lineRule="auto"/>
              <w:ind w:left="0" w:right="0" w:firstLine="0"/>
              <w:jc w:val="left"/>
            </w:pPr>
            <w:r>
              <w:rPr>
                <w:lang w:val="en-US"/>
              </w:rPr>
              <w:t xml:space="preserve">Draft contractor-level measurement recommendation</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5</w:t>
            </w:r>
          </w:p>
        </w:tc>
        <w:tc>
          <w:tcPr>
            <w:tcW w:w="3009" w:type="dxa"/>
          </w:tcPr>
          <w:p>
            <w:pPr>
              <w:pStyle w:val="TableText"/>
              <w:spacing w:before="0" w:after="0" w:line="240" w:lineRule="auto"/>
              <w:ind w:left="0" w:right="0" w:firstLine="0"/>
              <w:jc w:val="left"/>
            </w:pPr>
            <w:r>
              <w:rPr>
                <w:lang w:val="en-US"/>
              </w:rPr>
              <w:t xml:space="preserve">Measurement recommendation review</w:t>
            </w:r>
          </w:p>
        </w:tc>
        <w:tc>
          <w:tcPr>
            <w:tcW w:w="3008" w:type="dxa"/>
          </w:tcPr>
          <w:p>
            <w:pPr>
              <w:pStyle w:val="TableText"/>
              <w:spacing w:before="0" w:after="0" w:line="240" w:lineRule="auto"/>
              <w:ind w:left="0" w:right="0" w:firstLine="0"/>
              <w:jc w:val="left"/>
            </w:pPr>
            <w:r>
              <w:rPr>
                <w:lang w:val="en-US"/>
              </w:rPr>
              <w:t xml:space="preserve">Agreed direction for satisfaction measures</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6</w:t>
            </w:r>
          </w:p>
        </w:tc>
        <w:tc>
          <w:tcPr>
            <w:tcW w:w="3009" w:type="dxa"/>
          </w:tcPr>
          <w:p>
            <w:pPr>
              <w:pStyle w:val="TableText"/>
              <w:spacing w:before="0" w:after="0" w:line="240" w:lineRule="auto"/>
              <w:ind w:left="0" w:right="0" w:firstLine="0"/>
              <w:jc w:val="left"/>
            </w:pPr>
            <w:r>
              <w:rPr>
                <w:lang w:val="en-US"/>
              </w:rPr>
              <w:t xml:space="preserve">Operational and board reporting design</w:t>
            </w:r>
          </w:p>
        </w:tc>
        <w:tc>
          <w:tcPr>
            <w:tcW w:w="3008" w:type="dxa"/>
          </w:tcPr>
          <w:p>
            <w:pPr>
              <w:pStyle w:val="TableText"/>
              <w:spacing w:before="0" w:after="0" w:line="240" w:lineRule="auto"/>
              <w:ind w:left="0" w:right="0" w:firstLine="0"/>
              <w:jc w:val="left"/>
            </w:pPr>
            <w:r>
              <w:rPr>
                <w:lang w:val="en-US"/>
              </w:rPr>
              <w:t xml:space="preserve">Draft reporting approach and data definitions</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7</w:t>
            </w:r>
          </w:p>
        </w:tc>
        <w:tc>
          <w:tcPr>
            <w:tcW w:w="3009" w:type="dxa"/>
          </w:tcPr>
          <w:p>
            <w:pPr>
              <w:pStyle w:val="TableText"/>
              <w:spacing w:before="0" w:after="0" w:line="240" w:lineRule="auto"/>
              <w:ind w:left="0" w:right="0" w:firstLine="0"/>
              <w:jc w:val="left"/>
            </w:pPr>
            <w:r>
              <w:rPr>
                <w:lang w:val="en-US"/>
              </w:rPr>
              <w:t xml:space="preserve">Reporting approach refinement and action prioritisation</w:t>
            </w:r>
          </w:p>
        </w:tc>
        <w:tc>
          <w:tcPr>
            <w:tcW w:w="3008" w:type="dxa"/>
          </w:tcPr>
          <w:p>
            <w:pPr>
              <w:pStyle w:val="TableText"/>
              <w:spacing w:before="0" w:after="0" w:line="240" w:lineRule="auto"/>
              <w:ind w:left="0" w:right="0" w:firstLine="0"/>
              <w:jc w:val="left"/>
            </w:pPr>
            <w:r>
              <w:rPr>
                <w:lang w:val="en-US"/>
              </w:rPr>
              <w:t xml:space="preserve">Draft six-month improvement priorities</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8</w:t>
            </w:r>
          </w:p>
        </w:tc>
        <w:tc>
          <w:tcPr>
            <w:tcW w:w="3009" w:type="dxa"/>
          </w:tcPr>
          <w:p>
            <w:pPr>
              <w:pStyle w:val="TableText"/>
              <w:spacing w:before="0" w:after="0" w:line="240" w:lineRule="auto"/>
              <w:ind w:left="0" w:right="0" w:firstLine="0"/>
              <w:jc w:val="left"/>
            </w:pPr>
            <w:r>
              <w:rPr>
                <w:lang w:val="en-US"/>
              </w:rPr>
              <w:t xml:space="preserve">Board recommendation preparation</w:t>
            </w:r>
          </w:p>
        </w:tc>
        <w:tc>
          <w:tcPr>
            <w:tcW w:w="3008" w:type="dxa"/>
          </w:tcPr>
          <w:p>
            <w:pPr>
              <w:pStyle w:val="TableText"/>
              <w:spacing w:before="0" w:after="0" w:line="240" w:lineRule="auto"/>
              <w:ind w:left="0" w:right="0" w:firstLine="0"/>
              <w:jc w:val="left"/>
            </w:pPr>
            <w:r>
              <w:rPr>
                <w:lang w:val="en-US"/>
              </w:rPr>
              <w:t xml:space="preserve">Board presentation materials prepared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9</w:t>
            </w:r>
          </w:p>
        </w:tc>
        <w:tc>
          <w:tcPr>
            <w:tcW w:w="3009" w:type="dxa"/>
          </w:tcPr>
          <w:p>
            <w:pPr>
              <w:pStyle w:val="TableText"/>
              <w:spacing w:before="0" w:after="0" w:line="240" w:lineRule="auto"/>
              <w:ind w:left="0" w:right="0" w:firstLine="0"/>
              <w:jc w:val="left"/>
            </w:pPr>
            <w:r>
              <w:rPr>
                <w:lang w:val="en-US"/>
              </w:rPr>
              <w:t xml:space="preserve">Board presentation</w:t>
            </w:r>
          </w:p>
        </w:tc>
        <w:tc>
          <w:tcPr>
            <w:tcW w:w="3008" w:type="dxa"/>
          </w:tcPr>
          <w:p>
            <w:pPr>
              <w:pStyle w:val="TableText"/>
              <w:spacing w:before="0" w:after="0" w:line="240" w:lineRule="auto"/>
              <w:ind w:left="0" w:right="0" w:firstLine="0"/>
              <w:jc w:val="left"/>
            </w:pPr>
            <w:r>
              <w:rPr>
                <w:lang w:val="en-US"/>
              </w:rPr>
              <w:t xml:space="preserve">Engagement Director presents the recommendation to Harbourside's board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10</w:t>
            </w:r>
          </w:p>
        </w:tc>
        <w:tc>
          <w:tcPr>
            <w:tcW w:w="3009" w:type="dxa"/>
          </w:tcPr>
          <w:p>
            <w:pPr>
              <w:pStyle w:val="TableText"/>
              <w:spacing w:before="0" w:after="0" w:line="240" w:lineRule="auto"/>
              <w:ind w:left="0" w:right="0" w:firstLine="0"/>
              <w:jc w:val="left"/>
            </w:pPr>
            <w:r>
              <w:rPr>
                <w:lang w:val="en-US"/>
              </w:rPr>
              <w:t xml:space="preserve">Finalisation, acceptance demonstration, and handover</w:t>
            </w:r>
          </w:p>
        </w:tc>
        <w:tc>
          <w:tcPr>
            <w:tcW w:w="3008" w:type="dxa"/>
          </w:tcPr>
          <w:p>
            <w:pPr>
              <w:pStyle w:val="TableText"/>
              <w:spacing w:before="0" w:after="0" w:line="240" w:lineRule="auto"/>
              <w:ind w:left="0" w:right="0" w:firstLine="0"/>
              <w:jc w:val="left"/>
            </w:pPr>
            <w:r>
              <w:rPr>
                <w:lang w:val="en-US"/>
              </w:rPr>
              <w:t xml:space="preserve">Final advisory handover pack</w:t>
            </w:r>
          </w:p>
        </w:tc>
      </w:tr>
    </w:tbl>
    <w:p>
      <w:pPr>
        <w:pStyle w:val="Normal"/>
      </w:pPr>
      <w:r>
        <w:rPr>
          <w:lang w:val="en-US"/>
        </w:rPr>
        <w:t xml:space="preserve">We will use fortnightly sprints, with a written progress report and a risk register reviewed at every steering meeting.</w:t>
      </w:r>
    </w:p>
    <w:p>
      <w:pPr>
        <w:pStyle w:val="Heading2"/>
        <w:outlineLvl w:val="1"/>
      </w:pPr>
      <w:r>
        <w:rPr>
          <w:lang w:val="en-US"/>
        </w:rPr>
        <w:t xml:space="preserve">Investment</w:t>
      </w:r>
    </w:p>
    <w:p>
      <w:pPr>
        <w:pStyle w:val="Normal"/>
      </w:pPr>
      <w:r>
        <w:rPr>
          <w:lang w:val="en-US"/>
        </w:rPr>
        <w:t xml:space="preserve">The fees below are calculated from Larkfield's standard day rates and the proposed days for each role. All fees are fixed for the whole term of the contract and exclude VAT.</w:t>
      </w:r>
    </w:p>
    <w:tbl>
      <w:tblPr>
        <w:tblW w:w="9026" w:type="dxa"/>
        <w:tblInd w:w="0" w:type="dxa"/>
        <w:tblBorders>
          <w:top w:val="nil"/>
          <w:left w:val="nil"/>
          <w:bottom w:val="single" w:color="D3DCDF" w:sz="6"/>
          <w:right w:val="nil"/>
          <w:insideH w:val="single" w:color="D3DCDF" w:sz="6"/>
          <w:insideV w:val="nil"/>
        </w:tblBorders>
        <w:tblLayout w:type="fixed"/>
        <w:tblCellMar>
          <w:top w:w="93" w:type="dxa"/>
          <w:left w:w="93" w:type="dxa"/>
          <w:bottom w:w="93" w:type="dxa"/>
          <w:right w:w="93" w:type="dxa"/>
        </w:tblCellMar>
      </w:tblPr>
      <w:tblGrid>
        <w:gridCol w:w="1505"/>
        <w:gridCol w:w="1505"/>
        <w:gridCol w:w="1504"/>
        <w:gridCol w:w="1504"/>
        <w:gridCol w:w="1504"/>
        <w:gridCol w:w="1504"/>
      </w:tblGrid>
      <w:tr>
        <w:trPr>
          <w:cantSplit/>
          <w:tblHeader/>
        </w:trPr>
        <w:tc>
          <w:tcPr>
            <w:tcW w:w="1505" w:type="dxa"/>
            <w:tcBorders>
              <w:bottom w:val="single" w:color="2D3748" w:sz="13" w:space="0"/>
            </w:tcBorders>
            <w:tcMar>
              <w:left w:w="0" w:type="dxa"/>
            </w:tcMar>
          </w:tcPr>
          <w:p>
            <w:pPr>
              <w:pStyle w:val="TableHeading"/>
              <w:spacing w:before="0" w:after="0" w:line="240" w:lineRule="auto"/>
              <w:ind w:left="0" w:right="0" w:firstLine="0"/>
              <w:jc w:val="left"/>
            </w:pPr>
            <w:r>
              <w:rPr>
                <w:b/>
                <w:lang w:val="en-US"/>
              </w:rPr>
              <w:t xml:space="preserve">Phase</w:t>
            </w:r>
          </w:p>
        </w:tc>
        <w:tc>
          <w:tcPr>
            <w:tcW w:w="1505" w:type="dxa"/>
            <w:tcBorders>
              <w:bottom w:val="single" w:color="2D3748" w:sz="13" w:space="0"/>
            </w:tcBorders>
          </w:tcPr>
          <w:p>
            <w:pPr>
              <w:pStyle w:val="TableHeading"/>
              <w:spacing w:before="0" w:after="0" w:line="240" w:lineRule="auto"/>
              <w:ind w:left="0" w:right="0" w:firstLine="0"/>
              <w:jc w:val="left"/>
            </w:pPr>
            <w:r>
              <w:rPr>
                <w:b/>
                <w:lang w:val="en-US"/>
              </w:rPr>
              <w:t xml:space="preserve">Engagement Director</w:t>
            </w:r>
            <w:r>
              <w:br/>
            </w:r>
            <w:r>
              <w:rPr>
                <w:b/>
                <w:lang w:val="en-US"/>
              </w:rPr>
              <w:t xml:space="preserve">£1,150/day</w:t>
            </w:r>
          </w:p>
        </w:tc>
        <w:tc>
          <w:tcPr>
            <w:tcW w:w="1504" w:type="dxa"/>
            <w:tcBorders>
              <w:bottom w:val="single" w:color="2D3748" w:sz="13" w:space="0"/>
            </w:tcBorders>
          </w:tcPr>
          <w:p>
            <w:pPr>
              <w:pStyle w:val="TableHeading"/>
              <w:spacing w:before="0" w:after="0" w:line="240" w:lineRule="auto"/>
              <w:ind w:left="0" w:right="0" w:firstLine="0"/>
              <w:jc w:val="left"/>
            </w:pPr>
            <w:r>
              <w:rPr>
                <w:b/>
                <w:lang w:val="en-US"/>
              </w:rPr>
              <w:t xml:space="preserve">Lead Data Engineer</w:t>
            </w:r>
            <w:r>
              <w:br/>
            </w:r>
            <w:r>
              <w:rPr>
                <w:b/>
                <w:lang w:val="en-US"/>
              </w:rPr>
              <w:t xml:space="preserve">£950/day</w:t>
            </w:r>
          </w:p>
        </w:tc>
        <w:tc>
          <w:tcPr>
            <w:tcW w:w="1504" w:type="dxa"/>
            <w:tcBorders>
              <w:bottom w:val="single" w:color="2D3748" w:sz="13" w:space="0"/>
            </w:tcBorders>
          </w:tcPr>
          <w:p>
            <w:pPr>
              <w:pStyle w:val="TableHeading"/>
              <w:spacing w:before="0" w:after="0" w:line="240" w:lineRule="auto"/>
              <w:ind w:left="0" w:right="0" w:firstLine="0"/>
              <w:jc w:val="left"/>
            </w:pPr>
            <w:r>
              <w:rPr>
                <w:b/>
                <w:lang w:val="en-US"/>
              </w:rPr>
              <w:t xml:space="preserve">Senior Survey Analyst</w:t>
            </w:r>
            <w:r>
              <w:br/>
            </w:r>
            <w:r>
              <w:rPr>
                <w:b/>
                <w:lang w:val="en-US"/>
              </w:rPr>
              <w:t xml:space="preserve">£820/day</w:t>
            </w:r>
          </w:p>
        </w:tc>
        <w:tc>
          <w:tcPr>
            <w:tcW w:w="1504" w:type="dxa"/>
            <w:tcBorders>
              <w:bottom w:val="single" w:color="2D3748" w:sz="13" w:space="0"/>
            </w:tcBorders>
          </w:tcPr>
          <w:p>
            <w:pPr>
              <w:pStyle w:val="TableHeading"/>
              <w:spacing w:before="0" w:after="0" w:line="240" w:lineRule="auto"/>
              <w:ind w:left="0" w:right="0" w:firstLine="0"/>
              <w:jc w:val="left"/>
            </w:pPr>
            <w:r>
              <w:rPr>
                <w:b/>
                <w:lang w:val="en-US"/>
              </w:rPr>
              <w:t xml:space="preserve">Dashboard Developer</w:t>
            </w:r>
            <w:r>
              <w:br/>
            </w:r>
            <w:r>
              <w:rPr>
                <w:b/>
                <w:lang w:val="en-US"/>
              </w:rPr>
              <w:t xml:space="preserve">£780/day</w:t>
            </w:r>
          </w:p>
        </w:tc>
        <w:tc>
          <w:tcPr>
            <w:tcW w:w="1504" w:type="dxa"/>
            <w:tcBorders>
              <w:bottom w:val="single" w:color="2D3748" w:sz="13" w:space="0"/>
            </w:tcBorders>
          </w:tcPr>
          <w:p>
            <w:pPr>
              <w:pStyle w:val="TableHeading"/>
              <w:spacing w:before="0" w:after="0" w:line="240" w:lineRule="auto"/>
              <w:ind w:left="0" w:right="0" w:firstLine="0"/>
              <w:jc w:val="left"/>
            </w:pPr>
            <w:r>
              <w:rPr>
                <w:b/>
                <w:lang w:val="en-US"/>
              </w:rPr>
              <w:t xml:space="preserve">Phase Fee</w:t>
            </w:r>
          </w:p>
        </w:tc>
      </w:tr>
      <w:tr>
        <w:trPr>
          <w:cantSplit/>
        </w:trPr>
        <w:tc>
          <w:tcPr>
            <w:tcW w:w="1505" w:type="dxa"/>
            <w:tcMar>
              <w:left w:w="0" w:type="dxa"/>
            </w:tcMar>
          </w:tcPr>
          <w:p>
            <w:pPr>
              <w:pStyle w:val="TableText"/>
              <w:spacing w:before="0" w:after="0" w:line="240" w:lineRule="auto"/>
              <w:ind w:left="0" w:right="0" w:firstLine="0"/>
              <w:jc w:val="left"/>
            </w:pPr>
            <w:r>
              <w:rPr>
                <w:lang w:val="en-US"/>
              </w:rPr>
              <w:t xml:space="preserve">1. Discovery and Baseline</w:t>
            </w:r>
          </w:p>
        </w:tc>
        <w:tc>
          <w:tcPr>
            <w:tcW w:w="1505" w:type="dxa"/>
          </w:tcPr>
          <w:p>
            <w:pPr>
              <w:pStyle w:val="TableText"/>
              <w:spacing w:before="0" w:after="0" w:line="240" w:lineRule="auto"/>
              <w:ind w:left="0" w:right="0" w:firstLine="0"/>
              <w:jc w:val="left"/>
            </w:pPr>
            <w:r>
              <w:rPr>
                <w:lang w:val="en-US"/>
              </w:rPr>
              <w:t xml:space="preserve">3 days</w:t>
            </w:r>
            <w:r>
              <w:br/>
            </w:r>
            <w:r>
              <w:rPr>
                <w:lang w:val="en-US"/>
              </w:rPr>
              <w:t xml:space="preserve">£3,450</w:t>
            </w:r>
          </w:p>
        </w:tc>
        <w:tc>
          <w:tcPr>
            <w:tcW w:w="1504" w:type="dxa"/>
          </w:tcPr>
          <w:p>
            <w:pPr>
              <w:pStyle w:val="TableText"/>
              <w:spacing w:before="0" w:after="0" w:line="240" w:lineRule="auto"/>
              <w:ind w:left="0" w:right="0" w:firstLine="0"/>
              <w:jc w:val="left"/>
            </w:pPr>
            <w:r>
              <w:rPr>
                <w:lang w:val="en-US"/>
              </w:rPr>
              <w:t xml:space="preserve">4 days</w:t>
            </w:r>
            <w:r>
              <w:br/>
            </w:r>
            <w:r>
              <w:rPr>
                <w:lang w:val="en-US"/>
              </w:rPr>
              <w:t xml:space="preserve">£3,800</w:t>
            </w:r>
          </w:p>
        </w:tc>
        <w:tc>
          <w:tcPr>
            <w:tcW w:w="1504" w:type="dxa"/>
          </w:tcPr>
          <w:p>
            <w:pPr>
              <w:pStyle w:val="TableText"/>
              <w:spacing w:before="0" w:after="0" w:line="240" w:lineRule="auto"/>
              <w:ind w:left="0" w:right="0" w:firstLine="0"/>
              <w:jc w:val="left"/>
            </w:pPr>
            <w:r>
              <w:rPr>
                <w:lang w:val="en-US"/>
              </w:rPr>
              <w:t xml:space="preserve">5 days</w:t>
            </w:r>
            <w:r>
              <w:br/>
            </w:r>
            <w:r>
              <w:rPr>
                <w:lang w:val="en-US"/>
              </w:rPr>
              <w:t xml:space="preserve">£4,100</w:t>
            </w:r>
          </w:p>
        </w:tc>
        <w:tc>
          <w:tcPr>
            <w:tcW w:w="1504" w:type="dxa"/>
          </w:tcPr>
          <w:p>
            <w:pPr>
              <w:pStyle w:val="TableText"/>
              <w:spacing w:before="0" w:after="0" w:line="240" w:lineRule="auto"/>
              <w:ind w:left="0" w:right="0" w:firstLine="0"/>
              <w:jc w:val="left"/>
            </w:pPr>
            <w:r>
              <w:rPr>
                <w:lang w:val="en-US"/>
              </w:rPr>
              <w:t xml:space="preserve">-</w:t>
            </w:r>
          </w:p>
        </w:tc>
        <w:tc>
          <w:tcPr>
            <w:tcW w:w="1504" w:type="dxa"/>
          </w:tcPr>
          <w:p>
            <w:pPr>
              <w:pStyle w:val="TableText"/>
              <w:spacing w:before="0" w:after="0" w:line="240" w:lineRule="auto"/>
              <w:ind w:left="0" w:right="0" w:firstLine="0"/>
              <w:jc w:val="left"/>
            </w:pPr>
            <w:r>
              <w:rPr>
                <w:lang w:val="en-US"/>
              </w:rPr>
              <w:t xml:space="preserve">£11,350</w:t>
            </w:r>
          </w:p>
        </w:tc>
      </w:tr>
      <w:tr>
        <w:trPr>
          <w:cantSplit/>
        </w:trPr>
        <w:tc>
          <w:tcPr>
            <w:tcW w:w="1505" w:type="dxa"/>
            <w:tcMar>
              <w:left w:w="0" w:type="dxa"/>
            </w:tcMar>
          </w:tcPr>
          <w:p>
            <w:pPr>
              <w:pStyle w:val="TableText"/>
              <w:spacing w:before="0" w:after="0" w:line="240" w:lineRule="auto"/>
              <w:ind w:left="0" w:right="0" w:firstLine="0"/>
              <w:jc w:val="left"/>
            </w:pPr>
            <w:r>
              <w:rPr>
                <w:lang w:val="en-US"/>
              </w:rPr>
              <w:t xml:space="preserve">2. Survey and Measurement Design</w:t>
            </w:r>
          </w:p>
        </w:tc>
        <w:tc>
          <w:tcPr>
            <w:tcW w:w="1505" w:type="dxa"/>
          </w:tcPr>
          <w:p>
            <w:pPr>
              <w:pStyle w:val="TableText"/>
              <w:spacing w:before="0" w:after="0" w:line="240" w:lineRule="auto"/>
              <w:ind w:left="0" w:right="0" w:firstLine="0"/>
              <w:jc w:val="left"/>
            </w:pPr>
            <w:r>
              <w:rPr>
                <w:lang w:val="en-US"/>
              </w:rPr>
              <w:t xml:space="preserve">2 days</w:t>
            </w:r>
            <w:r>
              <w:br/>
            </w:r>
            <w:r>
              <w:rPr>
                <w:lang w:val="en-US"/>
              </w:rPr>
              <w:t xml:space="preserve">£2,300</w:t>
            </w:r>
          </w:p>
        </w:tc>
        <w:tc>
          <w:tcPr>
            <w:tcW w:w="1504" w:type="dxa"/>
          </w:tcPr>
          <w:p>
            <w:pPr>
              <w:pStyle w:val="TableText"/>
              <w:spacing w:before="0" w:after="0" w:line="240" w:lineRule="auto"/>
              <w:ind w:left="0" w:right="0" w:firstLine="0"/>
              <w:jc w:val="left"/>
            </w:pPr>
            <w:r>
              <w:rPr>
                <w:lang w:val="en-US"/>
              </w:rPr>
              <w:t xml:space="preserve">3 days</w:t>
            </w:r>
            <w:r>
              <w:br/>
            </w:r>
            <w:r>
              <w:rPr>
                <w:lang w:val="en-US"/>
              </w:rPr>
              <w:t xml:space="preserve">£2,850</w:t>
            </w:r>
          </w:p>
        </w:tc>
        <w:tc>
          <w:tcPr>
            <w:tcW w:w="1504" w:type="dxa"/>
          </w:tcPr>
          <w:p>
            <w:pPr>
              <w:pStyle w:val="TableText"/>
              <w:spacing w:before="0" w:after="0" w:line="240" w:lineRule="auto"/>
              <w:ind w:left="0" w:right="0" w:firstLine="0"/>
              <w:jc w:val="left"/>
            </w:pPr>
            <w:r>
              <w:rPr>
                <w:lang w:val="en-US"/>
              </w:rPr>
              <w:t xml:space="preserve">7 days</w:t>
            </w:r>
            <w:r>
              <w:br/>
            </w:r>
            <w:r>
              <w:rPr>
                <w:lang w:val="en-US"/>
              </w:rPr>
              <w:t xml:space="preserve">£5,740</w:t>
            </w:r>
          </w:p>
        </w:tc>
        <w:tc>
          <w:tcPr>
            <w:tcW w:w="1504" w:type="dxa"/>
          </w:tcPr>
          <w:p>
            <w:pPr>
              <w:pStyle w:val="TableText"/>
              <w:spacing w:before="0" w:after="0" w:line="240" w:lineRule="auto"/>
              <w:ind w:left="0" w:right="0" w:firstLine="0"/>
              <w:jc w:val="left"/>
            </w:pPr>
            <w:r>
              <w:rPr>
                <w:lang w:val="en-US"/>
              </w:rPr>
              <w:t xml:space="preserve">-</w:t>
            </w:r>
          </w:p>
        </w:tc>
        <w:tc>
          <w:tcPr>
            <w:tcW w:w="1504" w:type="dxa"/>
          </w:tcPr>
          <w:p>
            <w:pPr>
              <w:pStyle w:val="TableText"/>
              <w:spacing w:before="0" w:after="0" w:line="240" w:lineRule="auto"/>
              <w:ind w:left="0" w:right="0" w:firstLine="0"/>
              <w:jc w:val="left"/>
            </w:pPr>
            <w:r>
              <w:rPr>
                <w:lang w:val="en-US"/>
              </w:rPr>
              <w:t xml:space="preserve">£10,890</w:t>
            </w:r>
          </w:p>
        </w:tc>
      </w:tr>
      <w:tr>
        <w:trPr>
          <w:cantSplit/>
        </w:trPr>
        <w:tc>
          <w:tcPr>
            <w:tcW w:w="1505" w:type="dxa"/>
            <w:tcMar>
              <w:left w:w="0" w:type="dxa"/>
            </w:tcMar>
          </w:tcPr>
          <w:p>
            <w:pPr>
              <w:pStyle w:val="TableText"/>
              <w:spacing w:before="0" w:after="0" w:line="240" w:lineRule="auto"/>
              <w:ind w:left="0" w:right="0" w:firstLine="0"/>
              <w:jc w:val="left"/>
            </w:pPr>
            <w:r>
              <w:rPr>
                <w:lang w:val="en-US"/>
              </w:rPr>
              <w:t xml:space="preserve">3. Reporting Design</w:t>
            </w:r>
          </w:p>
        </w:tc>
        <w:tc>
          <w:tcPr>
            <w:tcW w:w="1505" w:type="dxa"/>
          </w:tcPr>
          <w:p>
            <w:pPr>
              <w:pStyle w:val="TableText"/>
              <w:spacing w:before="0" w:after="0" w:line="240" w:lineRule="auto"/>
              <w:ind w:left="0" w:right="0" w:firstLine="0"/>
              <w:jc w:val="left"/>
            </w:pPr>
            <w:r>
              <w:rPr>
                <w:lang w:val="en-US"/>
              </w:rPr>
              <w:t xml:space="preserve">2 days</w:t>
            </w:r>
            <w:r>
              <w:br/>
            </w:r>
            <w:r>
              <w:rPr>
                <w:lang w:val="en-US"/>
              </w:rPr>
              <w:t xml:space="preserve">£2,300</w:t>
            </w:r>
          </w:p>
        </w:tc>
        <w:tc>
          <w:tcPr>
            <w:tcW w:w="1504" w:type="dxa"/>
          </w:tcPr>
          <w:p>
            <w:pPr>
              <w:pStyle w:val="TableText"/>
              <w:spacing w:before="0" w:after="0" w:line="240" w:lineRule="auto"/>
              <w:ind w:left="0" w:right="0" w:firstLine="0"/>
              <w:jc w:val="left"/>
            </w:pPr>
            <w:r>
              <w:rPr>
                <w:lang w:val="en-US"/>
              </w:rPr>
              <w:t xml:space="preserve">5 days</w:t>
            </w:r>
            <w:r>
              <w:br/>
            </w:r>
            <w:r>
              <w:rPr>
                <w:lang w:val="en-US"/>
              </w:rPr>
              <w:t xml:space="preserve">£4,750</w:t>
            </w:r>
          </w:p>
        </w:tc>
        <w:tc>
          <w:tcPr>
            <w:tcW w:w="1504" w:type="dxa"/>
          </w:tcPr>
          <w:p>
            <w:pPr>
              <w:pStyle w:val="TableText"/>
              <w:spacing w:before="0" w:after="0" w:line="240" w:lineRule="auto"/>
              <w:ind w:left="0" w:right="0" w:firstLine="0"/>
              <w:jc w:val="left"/>
            </w:pPr>
            <w:r>
              <w:rPr>
                <w:lang w:val="en-US"/>
              </w:rPr>
              <w:t xml:space="preserve">3 days</w:t>
            </w:r>
            <w:r>
              <w:br/>
            </w:r>
            <w:r>
              <w:rPr>
                <w:lang w:val="en-US"/>
              </w:rPr>
              <w:t xml:space="preserve">£2,460</w:t>
            </w:r>
          </w:p>
        </w:tc>
        <w:tc>
          <w:tcPr>
            <w:tcW w:w="1504" w:type="dxa"/>
          </w:tcPr>
          <w:p>
            <w:pPr>
              <w:pStyle w:val="TableText"/>
              <w:spacing w:before="0" w:after="0" w:line="240" w:lineRule="auto"/>
              <w:ind w:left="0" w:right="0" w:firstLine="0"/>
              <w:jc w:val="left"/>
            </w:pPr>
            <w:r>
              <w:rPr>
                <w:lang w:val="en-US"/>
              </w:rPr>
              <w:t xml:space="preserve">5 days</w:t>
            </w:r>
            <w:r>
              <w:br/>
            </w:r>
            <w:r>
              <w:rPr>
                <w:lang w:val="en-US"/>
              </w:rPr>
              <w:t xml:space="preserve">£3,900</w:t>
            </w:r>
          </w:p>
        </w:tc>
        <w:tc>
          <w:tcPr>
            <w:tcW w:w="1504" w:type="dxa"/>
          </w:tcPr>
          <w:p>
            <w:pPr>
              <w:pStyle w:val="TableText"/>
              <w:spacing w:before="0" w:after="0" w:line="240" w:lineRule="auto"/>
              <w:ind w:left="0" w:right="0" w:firstLine="0"/>
              <w:jc w:val="left"/>
            </w:pPr>
            <w:r>
              <w:rPr>
                <w:lang w:val="en-US"/>
              </w:rPr>
              <w:t xml:space="preserve">£13,410</w:t>
            </w:r>
          </w:p>
        </w:tc>
      </w:tr>
      <w:tr>
        <w:trPr>
          <w:cantSplit/>
        </w:trPr>
        <w:tc>
          <w:tcPr>
            <w:tcW w:w="1505" w:type="dxa"/>
            <w:tcMar>
              <w:left w:w="0" w:type="dxa"/>
            </w:tcMar>
          </w:tcPr>
          <w:p>
            <w:pPr>
              <w:pStyle w:val="TableText"/>
              <w:spacing w:before="0" w:after="0" w:line="240" w:lineRule="auto"/>
              <w:ind w:left="0" w:right="0" w:firstLine="0"/>
              <w:jc w:val="left"/>
            </w:pPr>
            <w:r>
              <w:rPr>
                <w:lang w:val="en-US"/>
              </w:rPr>
              <w:t xml:space="preserve">4. Action and Board Direction</w:t>
            </w:r>
          </w:p>
        </w:tc>
        <w:tc>
          <w:tcPr>
            <w:tcW w:w="1505" w:type="dxa"/>
          </w:tcPr>
          <w:p>
            <w:pPr>
              <w:pStyle w:val="TableText"/>
              <w:spacing w:before="0" w:after="0" w:line="240" w:lineRule="auto"/>
              <w:ind w:left="0" w:right="0" w:firstLine="0"/>
              <w:jc w:val="left"/>
            </w:pPr>
            <w:r>
              <w:rPr>
                <w:lang w:val="en-US"/>
              </w:rPr>
              <w:t xml:space="preserve">3 days</w:t>
            </w:r>
            <w:r>
              <w:br/>
            </w:r>
            <w:r>
              <w:rPr>
                <w:lang w:val="en-US"/>
              </w:rPr>
              <w:t xml:space="preserve">£3,450</w:t>
            </w:r>
          </w:p>
        </w:tc>
        <w:tc>
          <w:tcPr>
            <w:tcW w:w="1504" w:type="dxa"/>
          </w:tcPr>
          <w:p>
            <w:pPr>
              <w:pStyle w:val="TableText"/>
              <w:spacing w:before="0" w:after="0" w:line="240" w:lineRule="auto"/>
              <w:ind w:left="0" w:right="0" w:firstLine="0"/>
              <w:jc w:val="left"/>
            </w:pPr>
            <w:r>
              <w:rPr>
                <w:lang w:val="en-US"/>
              </w:rPr>
              <w:t xml:space="preserve">-</w:t>
            </w:r>
          </w:p>
        </w:tc>
        <w:tc>
          <w:tcPr>
            <w:tcW w:w="1504" w:type="dxa"/>
          </w:tcPr>
          <w:p>
            <w:pPr>
              <w:pStyle w:val="TableText"/>
              <w:spacing w:before="0" w:after="0" w:line="240" w:lineRule="auto"/>
              <w:ind w:left="0" w:right="0" w:firstLine="0"/>
              <w:jc w:val="left"/>
            </w:pPr>
            <w:r>
              <w:rPr>
                <w:lang w:val="en-US"/>
              </w:rPr>
              <w:t xml:space="preserve">5 days</w:t>
            </w:r>
            <w:r>
              <w:br/>
            </w:r>
            <w:r>
              <w:rPr>
                <w:lang w:val="en-US"/>
              </w:rPr>
              <w:t xml:space="preserve">£4,100</w:t>
            </w:r>
          </w:p>
        </w:tc>
        <w:tc>
          <w:tcPr>
            <w:tcW w:w="1504" w:type="dxa"/>
          </w:tcPr>
          <w:p>
            <w:pPr>
              <w:pStyle w:val="TableText"/>
              <w:spacing w:before="0" w:after="0" w:line="240" w:lineRule="auto"/>
              <w:ind w:left="0" w:right="0" w:firstLine="0"/>
              <w:jc w:val="left"/>
            </w:pPr>
            <w:r>
              <w:rPr>
                <w:lang w:val="en-US"/>
              </w:rPr>
              <w:t xml:space="preserve">2 days</w:t>
            </w:r>
            <w:r>
              <w:br/>
            </w:r>
            <w:r>
              <w:rPr>
                <w:lang w:val="en-US"/>
              </w:rPr>
              <w:t xml:space="preserve">£1,560</w:t>
            </w:r>
          </w:p>
        </w:tc>
        <w:tc>
          <w:tcPr>
            <w:tcW w:w="1504" w:type="dxa"/>
          </w:tcPr>
          <w:p>
            <w:pPr>
              <w:pStyle w:val="TableText"/>
              <w:spacing w:before="0" w:after="0" w:line="240" w:lineRule="auto"/>
              <w:ind w:left="0" w:right="0" w:firstLine="0"/>
              <w:jc w:val="left"/>
            </w:pPr>
            <w:r>
              <w:rPr>
                <w:lang w:val="en-US"/>
              </w:rPr>
              <w:t xml:space="preserve">£9,110</w:t>
            </w:r>
          </w:p>
        </w:tc>
      </w:tr>
      <w:tr>
        <w:trPr>
          <w:cantSplit/>
        </w:trPr>
        <w:tc>
          <w:tcPr>
            <w:tcW w:w="1505" w:type="dxa"/>
            <w:tcMar>
              <w:left w:w="0" w:type="dxa"/>
            </w:tcMar>
          </w:tcPr>
          <w:p>
            <w:pPr>
              <w:pStyle w:val="TableText"/>
              <w:spacing w:before="0" w:after="0" w:line="240" w:lineRule="auto"/>
              <w:ind w:left="0" w:right="0" w:firstLine="0"/>
              <w:jc w:val="left"/>
            </w:pPr>
            <w:r>
              <w:rPr>
                <w:lang w:val="en-US"/>
              </w:rPr>
              <w:t xml:space="preserve">5. Handover and Close</w:t>
            </w:r>
          </w:p>
        </w:tc>
        <w:tc>
          <w:tcPr>
            <w:tcW w:w="1505" w:type="dxa"/>
          </w:tcPr>
          <w:p>
            <w:pPr>
              <w:pStyle w:val="TableText"/>
              <w:spacing w:before="0" w:after="0" w:line="240" w:lineRule="auto"/>
              <w:ind w:left="0" w:right="0" w:firstLine="0"/>
              <w:jc w:val="left"/>
            </w:pPr>
            <w:r>
              <w:rPr>
                <w:lang w:val="en-US"/>
              </w:rPr>
              <w:t xml:space="preserve">1 day</w:t>
            </w:r>
            <w:r>
              <w:br/>
            </w:r>
            <w:r>
              <w:rPr>
                <w:lang w:val="en-US"/>
              </w:rPr>
              <w:t xml:space="preserve">£1,150</w:t>
            </w:r>
          </w:p>
        </w:tc>
        <w:tc>
          <w:tcPr>
            <w:tcW w:w="1504" w:type="dxa"/>
          </w:tcPr>
          <w:p>
            <w:pPr>
              <w:pStyle w:val="TableText"/>
              <w:spacing w:before="0" w:after="0" w:line="240" w:lineRule="auto"/>
              <w:ind w:left="0" w:right="0" w:firstLine="0"/>
              <w:jc w:val="left"/>
            </w:pPr>
            <w:r>
              <w:rPr>
                <w:lang w:val="en-US"/>
              </w:rPr>
              <w:t xml:space="preserve">-</w:t>
            </w:r>
          </w:p>
        </w:tc>
        <w:tc>
          <w:tcPr>
            <w:tcW w:w="1504" w:type="dxa"/>
          </w:tcPr>
          <w:p>
            <w:pPr>
              <w:pStyle w:val="TableText"/>
              <w:spacing w:before="0" w:after="0" w:line="240" w:lineRule="auto"/>
              <w:ind w:left="0" w:right="0" w:firstLine="0"/>
              <w:jc w:val="left"/>
            </w:pPr>
            <w:r>
              <w:rPr>
                <w:lang w:val="en-US"/>
              </w:rPr>
              <w:t xml:space="preserve">1 day</w:t>
            </w:r>
            <w:r>
              <w:br/>
            </w:r>
            <w:r>
              <w:rPr>
                <w:lang w:val="en-US"/>
              </w:rPr>
              <w:t xml:space="preserve">£820</w:t>
            </w:r>
          </w:p>
        </w:tc>
        <w:tc>
          <w:tcPr>
            <w:tcW w:w="1504" w:type="dxa"/>
          </w:tcPr>
          <w:p>
            <w:pPr>
              <w:pStyle w:val="TableText"/>
              <w:spacing w:before="0" w:after="0" w:line="240" w:lineRule="auto"/>
              <w:ind w:left="0" w:right="0" w:firstLine="0"/>
              <w:jc w:val="left"/>
            </w:pPr>
            <w:r>
              <w:rPr>
                <w:lang w:val="en-US"/>
              </w:rPr>
              <w:t xml:space="preserve">-</w:t>
            </w:r>
          </w:p>
        </w:tc>
        <w:tc>
          <w:tcPr>
            <w:tcW w:w="1504" w:type="dxa"/>
          </w:tcPr>
          <w:p>
            <w:pPr>
              <w:pStyle w:val="TableText"/>
              <w:spacing w:before="0" w:after="0" w:line="240" w:lineRule="auto"/>
              <w:ind w:left="0" w:right="0" w:firstLine="0"/>
              <w:jc w:val="left"/>
            </w:pPr>
            <w:r>
              <w:rPr>
                <w:lang w:val="en-US"/>
              </w:rPr>
              <w:t xml:space="preserve">£1,970</w:t>
            </w:r>
          </w:p>
        </w:tc>
      </w:tr>
      <w:tr>
        <w:trPr>
          <w:cantSplit/>
        </w:trPr>
        <w:tc>
          <w:tcPr>
            <w:tcW w:w="1505" w:type="dxa"/>
            <w:tcMar>
              <w:left w:w="0" w:type="dxa"/>
            </w:tcMar>
          </w:tcPr>
          <w:p>
            <w:pPr>
              <w:pStyle w:val="TableRowHeading"/>
              <w:spacing w:before="0" w:after="0" w:line="240" w:lineRule="auto"/>
              <w:ind w:left="0" w:right="0" w:firstLine="0"/>
              <w:jc w:val="left"/>
            </w:pPr>
            <w:r>
              <w:rPr>
                <w:b/>
                <w:lang w:val="en-US"/>
              </w:rPr>
              <w:t xml:space="preserve">Total</w:t>
            </w:r>
          </w:p>
        </w:tc>
        <w:tc>
          <w:tcPr>
            <w:tcW w:w="1505" w:type="dxa"/>
          </w:tcPr>
          <w:p>
            <w:pPr>
              <w:pStyle w:val="TableRowHeading"/>
              <w:spacing w:before="0" w:after="0" w:line="240" w:lineRule="auto"/>
              <w:ind w:left="0" w:right="0" w:firstLine="0"/>
              <w:jc w:val="left"/>
            </w:pPr>
            <w:r>
              <w:rPr>
                <w:b/>
                <w:lang w:val="en-US"/>
              </w:rPr>
              <w:t xml:space="preserve">11 days</w:t>
            </w:r>
            <w:r>
              <w:br/>
            </w:r>
            <w:r>
              <w:rPr>
                <w:b/>
                <w:lang w:val="en-US"/>
              </w:rPr>
              <w:t xml:space="preserve">£12,650</w:t>
            </w:r>
          </w:p>
        </w:tc>
        <w:tc>
          <w:tcPr>
            <w:tcW w:w="1504" w:type="dxa"/>
          </w:tcPr>
          <w:p>
            <w:pPr>
              <w:pStyle w:val="TableRowHeading"/>
              <w:spacing w:before="0" w:after="0" w:line="240" w:lineRule="auto"/>
              <w:ind w:left="0" w:right="0" w:firstLine="0"/>
              <w:jc w:val="left"/>
            </w:pPr>
            <w:r>
              <w:rPr>
                <w:b/>
                <w:lang w:val="en-US"/>
              </w:rPr>
              <w:t xml:space="preserve">12 days</w:t>
            </w:r>
            <w:r>
              <w:br/>
            </w:r>
            <w:r>
              <w:rPr>
                <w:b/>
                <w:lang w:val="en-US"/>
              </w:rPr>
              <w:t xml:space="preserve">£11,400</w:t>
            </w:r>
          </w:p>
        </w:tc>
        <w:tc>
          <w:tcPr>
            <w:tcW w:w="1504" w:type="dxa"/>
          </w:tcPr>
          <w:p>
            <w:pPr>
              <w:pStyle w:val="TableRowHeading"/>
              <w:spacing w:before="0" w:after="0" w:line="240" w:lineRule="auto"/>
              <w:ind w:left="0" w:right="0" w:firstLine="0"/>
              <w:jc w:val="left"/>
            </w:pPr>
            <w:r>
              <w:rPr>
                <w:b/>
                <w:lang w:val="en-US"/>
              </w:rPr>
              <w:t xml:space="preserve">21 days</w:t>
            </w:r>
            <w:r>
              <w:br/>
            </w:r>
            <w:r>
              <w:rPr>
                <w:b/>
                <w:lang w:val="en-US"/>
              </w:rPr>
              <w:t xml:space="preserve">£17,220</w:t>
            </w:r>
          </w:p>
        </w:tc>
        <w:tc>
          <w:tcPr>
            <w:tcW w:w="1504" w:type="dxa"/>
          </w:tcPr>
          <w:p>
            <w:pPr>
              <w:pStyle w:val="TableRowHeading"/>
              <w:spacing w:before="0" w:after="0" w:line="240" w:lineRule="auto"/>
              <w:ind w:left="0" w:right="0" w:firstLine="0"/>
              <w:jc w:val="left"/>
            </w:pPr>
            <w:r>
              <w:rPr>
                <w:b/>
                <w:lang w:val="en-US"/>
              </w:rPr>
              <w:t xml:space="preserve">7 days</w:t>
            </w:r>
            <w:r>
              <w:br/>
            </w:r>
            <w:r>
              <w:rPr>
                <w:b/>
                <w:lang w:val="en-US"/>
              </w:rPr>
              <w:t xml:space="preserve">£5,460</w:t>
            </w:r>
          </w:p>
        </w:tc>
        <w:tc>
          <w:tcPr>
            <w:tcW w:w="1504" w:type="dxa"/>
          </w:tcPr>
          <w:p>
            <w:pPr>
              <w:pStyle w:val="TableRowHeading"/>
              <w:spacing w:before="0" w:after="0" w:line="240" w:lineRule="auto"/>
              <w:ind w:left="0" w:right="0" w:firstLine="0"/>
              <w:jc w:val="left"/>
            </w:pPr>
            <w:r>
              <w:rPr>
                <w:b/>
                <w:lang w:val="en-US"/>
              </w:rPr>
              <w:t xml:space="preserve">£46,730</w:t>
            </w:r>
          </w:p>
        </w:tc>
      </w:tr>
    </w:tbl>
    <w:p>
      <w:pPr>
        <w:pStyle w:val="Normal"/>
      </w:pPr>
      <w:r>
        <w:rPr>
          <w:b/>
          <w:lang w:val="en-US"/>
        </w:rPr>
        <w:t xml:space="preserve">Total fixed fee:</w:t>
      </w:r>
      <w:r>
        <w:rPr>
          <w:lang w:val="en-US"/>
        </w:rPr>
        <w:t xml:space="preserve"> £46,730 excluding VAT.</w:t>
      </w:r>
    </w:p>
    <w:p>
      <w:pPr>
        <w:pStyle w:val="Normal"/>
      </w:pPr>
      <w:r>
        <w:rPr>
          <w:lang w:val="en-US"/>
        </w:rPr>
        <w:t xml:space="preserve">This investment provides the specialist survey, data, reporting, and senior engagement capacity needed to move Harbourside from unowned feedback to a defined approach for contractor-level quarterly satisfaction reporting and prioritised service action.</w:t>
      </w:r>
    </w:p>
    <w:p>
      <w:pPr>
        <w:pStyle w:val="Normal"/>
      </w:pPr>
      <w:r>
        <w:rPr>
          <w:b/>
          <w:lang w:val="en-US"/>
        </w:rPr>
        <w:t xml:space="preserve">Expenses:</w:t>
      </w:r>
      <w:r>
        <w:rPr>
          <w:lang w:val="en-US"/>
        </w:rPr>
        <w:t xml:space="preserve"> No expenses will be charged unless Harbourside agrees them in writing in advance. Agreed travel and out-of-pocket costs will be charged at cost.</w:t>
      </w:r>
    </w:p>
    <w:p>
      <w:pPr>
        <w:pStyle w:val="Normal"/>
      </w:pPr>
      <w:r>
        <w:rPr>
          <w:b/>
          <w:lang w:val="en-US"/>
        </w:rPr>
        <w:t xml:space="preserve">Payment milestones:</w:t>
      </w:r>
      <w:r>
        <w:rPr>
          <w:lang w:val="en-US"/>
        </w:rPr>
        <w:t xml:space="preserve"> Fees will be invoiced monthly in arrears for work completed during the engagement and are payable within 30 days.</w:t>
      </w:r>
    </w:p>
    <w:p>
      <w:pPr>
        <w:pStyle w:val="Normal"/>
      </w:pPr>
      <w:r>
        <w:rPr>
          <w:b/>
          <w:lang w:val="en-US"/>
        </w:rPr>
        <w:t xml:space="preserve">Excluded from this advisory fee:</w:t>
      </w:r>
      <w:r>
        <w:rPr>
          <w:lang w:val="en-US"/>
        </w:rPr>
        <w:t xml:space="preserve"> Dashboard platform hosting and licence, survey fielding, and any agreed travel or out-of-pocket expenses. No new software purchase is required during the engagement.</w:t>
      </w:r>
    </w:p>
    <w:p>
      <w:pPr>
        <w:pStyle w:val="Heading2"/>
        <w:outlineLvl w:val="1"/>
      </w:pPr>
      <w:r>
        <w:rPr>
          <w:lang w:val="en-US"/>
        </w:rPr>
        <w:t xml:space="preserve">Expected Outcomes</w:t>
      </w:r>
    </w:p>
    <w:p>
      <w:pPr>
        <w:pStyle w:val="ListParagraph"/>
        <w:numPr>
          <w:ilvl w:val="0"/>
          <w:numId w:val="1"/>
        </w:numPr>
        <w:ind w:left="360" w:hanging="240"/>
      </w:pPr>
      <w:r>
        <w:rPr>
          <w:lang w:val="en-US"/>
        </w:rPr>
        <w:t xml:space="preserve">A clear understanding of the current repairs survey, response process, survey data, available repairs data, and accountability gaps.</w:t>
      </w:r>
    </w:p>
    <w:p>
      <w:pPr>
        <w:pStyle w:val="ListParagraph"/>
        <w:numPr>
          <w:ilvl w:val="0"/>
          <w:numId w:val="1"/>
        </w:numPr>
        <w:ind w:left="360" w:hanging="240"/>
      </w:pPr>
      <w:r>
        <w:rPr>
          <w:lang w:val="en-US"/>
        </w:rPr>
        <w:t xml:space="preserve">A recommended approach for measuring repairs satisfaction across the two contractors and Harbourside's in-house repairs team.</w:t>
      </w:r>
    </w:p>
    <w:p>
      <w:pPr>
        <w:pStyle w:val="ListParagraph"/>
        <w:numPr>
          <w:ilvl w:val="0"/>
          <w:numId w:val="1"/>
        </w:numPr>
        <w:ind w:left="360" w:hanging="240"/>
      </w:pPr>
      <w:r>
        <w:rPr>
          <w:lang w:val="en-US"/>
        </w:rPr>
        <w:t xml:space="preserve">A practical route to enable quarterly board visibility of repairs satisfaction by contractor.</w:t>
      </w:r>
    </w:p>
    <w:p>
      <w:pPr>
        <w:pStyle w:val="ListParagraph"/>
        <w:numPr>
          <w:ilvl w:val="0"/>
          <w:numId w:val="1"/>
        </w:numPr>
        <w:ind w:left="360" w:hanging="240"/>
      </w:pPr>
      <w:r>
        <w:rPr>
          <w:lang w:val="en-US"/>
        </w:rPr>
        <w:t xml:space="preserve">A reporting approach that distinguishes the needs of the repairs team from the needs of the board.</w:t>
      </w:r>
    </w:p>
    <w:p>
      <w:pPr>
        <w:pStyle w:val="ListParagraph"/>
        <w:numPr>
          <w:ilvl w:val="0"/>
          <w:numId w:val="1"/>
        </w:numPr>
        <w:ind w:left="360" w:hanging="240"/>
      </w:pPr>
      <w:r>
        <w:rPr>
          <w:lang w:val="en-US"/>
        </w:rPr>
        <w:t xml:space="preserve">Documented data definitions to support consistent reporting and handover.</w:t>
      </w:r>
    </w:p>
    <w:p>
      <w:pPr>
        <w:pStyle w:val="ListParagraph"/>
        <w:numPr>
          <w:ilvl w:val="0"/>
          <w:numId w:val="1"/>
        </w:numPr>
        <w:ind w:left="360" w:hanging="240"/>
      </w:pPr>
      <w:r>
        <w:rPr>
          <w:lang w:val="en-US"/>
        </w:rPr>
        <w:t xml:space="preserve">Three prioritised changes for the repairs team to implement during the first six months.</w:t>
      </w:r>
    </w:p>
    <w:p>
      <w:pPr>
        <w:pStyle w:val="ListParagraph"/>
        <w:numPr>
          <w:ilvl w:val="0"/>
          <w:numId w:val="1"/>
        </w:numPr>
        <w:ind w:left="360" w:hanging="240"/>
      </w:pPr>
      <w:r>
        <w:rPr>
          <w:lang w:val="en-US"/>
        </w:rPr>
        <w:t xml:space="preserve">A board presentation in week nine delivered by the Engagement Director.</w:t>
      </w:r>
    </w:p>
    <w:p>
      <w:pPr>
        <w:pStyle w:val="Heading2"/>
        <w:outlineLvl w:val="1"/>
      </w:pPr>
      <w:r>
        <w:rPr>
          <w:lang w:val="en-US"/>
        </w:rPr>
        <w:t xml:space="preserve">Why Larkfield Analytics Ltd</w:t>
      </w:r>
    </w:p>
    <w:p>
      <w:pPr>
        <w:pStyle w:val="Normal"/>
      </w:pPr>
      <w:r>
        <w:rPr>
          <w:lang w:val="en-US"/>
        </w:rPr>
        <w:t xml:space="preserve">Larkfield Analytics Ltd brings together Survey Design, Data Engineering, and Decision Dashboards practices. This combination is directly relevant to Harbourside's requirement to connect survey design, repairs data, contractor-level measurement, and decision-focused reporting.</w:t>
      </w:r>
    </w:p>
    <w:p>
      <w:pPr>
        <w:pStyle w:val="Normal"/>
      </w:pPr>
      <w:r>
        <w:rPr>
          <w:lang w:val="en-US"/>
        </w:rPr>
        <w:t xml:space="preserve">Our team includes experience in resident and tenant surveys, reporting stores, data protection impact assessments, and accessible dashboards. Our method begins with discovery, stakeholder interviews, a data inventory, and a written data protection impact assessment. It then uses fortnightly delivery sprints, written progress reports, and active risk management.</w:t>
      </w:r>
    </w:p>
    <w:p>
      <w:pPr>
        <w:pStyle w:val="Normal"/>
      </w:pPr>
      <w:r>
        <w:rPr>
          <w:lang w:val="en-US"/>
        </w:rPr>
        <w:t xml:space="preserve">Larkfield has delivered relevant fictional example work in the housing sector. In 2024, Larkfield redesigned Tavistone Housing Association's annual tenant survey around the regulator's required measures and built a quarterly dashboard for the board; the first quarterly dashboard reached the board six weeks after contract start. For Wexcombe District Council, Larkfield replaced four separate feedback forms with one survey and a weekly dashboard, with response rate increasing from 9% to 23% over 18 months.</w:t>
      </w:r>
    </w:p>
    <w:p>
      <w:pPr>
        <w:pStyle w:val="Normal"/>
      </w:pPr>
      <w:r>
        <w:rPr>
          <w:lang w:val="en-US"/>
        </w:rPr>
        <w:t xml:space="preserve">For this engagement, Imogen Farrow will provide senior accountability as Engagement Director, lead every contract activity requiring executive direction, sign off reports, and present to Harbourside's board in week nine.</w:t>
      </w:r>
    </w:p>
    <w:p>
      <w:pPr>
        <w:pStyle w:val="Heading2"/>
        <w:outlineLvl w:val="1"/>
      </w:pPr>
      <w:r>
        <w:rPr>
          <w:lang w:val="en-US"/>
        </w:rPr>
        <w:t xml:space="preserve">Terms &amp; Conditions</w:t>
      </w:r>
    </w:p>
    <w:p>
      <w:pPr>
        <w:pStyle w:val="ListParagraph"/>
        <w:numPr>
          <w:ilvl w:val="0"/>
          <w:numId w:val="2"/>
        </w:numPr>
        <w:ind w:left="360" w:hanging="240"/>
      </w:pPr>
      <w:r>
        <w:rPr>
          <w:b/>
          <w:lang w:val="en-US"/>
        </w:rPr>
        <w:t xml:space="preserve">Proposal validity:</w:t>
      </w:r>
      <w:r>
        <w:rPr>
          <w:lang w:val="en-US"/>
        </w:rPr>
        <w:t xml:space="preserve"> This proposal is valid for 60 days from the date of issue.</w:t>
      </w:r>
    </w:p>
    <w:p>
      <w:pPr>
        <w:pStyle w:val="ListParagraph"/>
        <w:numPr>
          <w:ilvl w:val="0"/>
          <w:numId w:val="2"/>
        </w:numPr>
        <w:ind w:left="360" w:hanging="240"/>
      </w:pPr>
      <w:r>
        <w:rPr>
          <w:b/>
          <w:lang w:val="en-US"/>
        </w:rPr>
        <w:t xml:space="preserve">Fees:</w:t>
      </w:r>
      <w:r>
        <w:rPr>
          <w:lang w:val="en-US"/>
        </w:rPr>
        <w:t xml:space="preserve"> The total fixed fee is £46,730 excluding VAT. The standard daily rates used in this proposal are fixed for the whole contract term, including any extension.</w:t>
      </w:r>
    </w:p>
    <w:p>
      <w:pPr>
        <w:pStyle w:val="ListParagraph"/>
        <w:numPr>
          <w:ilvl w:val="0"/>
          <w:numId w:val="2"/>
        </w:numPr>
        <w:ind w:left="360" w:hanging="240"/>
      </w:pPr>
      <w:r>
        <w:rPr>
          <w:b/>
          <w:lang w:val="en-US"/>
        </w:rPr>
        <w:t xml:space="preserve">Payment:</w:t>
      </w:r>
      <w:r>
        <w:rPr>
          <w:lang w:val="en-US"/>
        </w:rPr>
        <w:t xml:space="preserve"> Larkfield will invoice monthly in arrears. Invoices are payable within 30 days.</w:t>
      </w:r>
    </w:p>
    <w:p>
      <w:pPr>
        <w:pStyle w:val="ListParagraph"/>
        <w:numPr>
          <w:ilvl w:val="0"/>
          <w:numId w:val="2"/>
        </w:numPr>
        <w:ind w:left="360" w:hanging="240"/>
      </w:pPr>
      <w:r>
        <w:rPr>
          <w:b/>
          <w:lang w:val="en-US"/>
        </w:rPr>
        <w:t xml:space="preserve">Expenses:</w:t>
      </w:r>
      <w:r>
        <w:rPr>
          <w:lang w:val="en-US"/>
        </w:rPr>
        <w:t xml:space="preserve"> No expenses will be charged without Harbourside's prior written agreement. Agreed travel and out-of-pocket costs will be charged at cost.</w:t>
      </w:r>
    </w:p>
    <w:p>
      <w:pPr>
        <w:pStyle w:val="ListParagraph"/>
        <w:numPr>
          <w:ilvl w:val="0"/>
          <w:numId w:val="2"/>
        </w:numPr>
        <w:ind w:left="360" w:hanging="240"/>
      </w:pPr>
      <w:r>
        <w:rPr>
          <w:b/>
          <w:lang w:val="en-US"/>
        </w:rPr>
        <w:t xml:space="preserve">Data protection:</w:t>
      </w:r>
      <w:r>
        <w:rPr>
          <w:lang w:val="en-US"/>
        </w:rPr>
        <w:t xml:space="preserve"> Every project begins with a written data protection impact assessment, signed off by the client before any personal data moves. Larkfield collects and keeps only the personal data needed for the project's agreed purpose.</w:t>
      </w:r>
    </w:p>
    <w:p>
      <w:pPr>
        <w:pStyle w:val="ListParagraph"/>
        <w:numPr>
          <w:ilvl w:val="0"/>
          <w:numId w:val="2"/>
        </w:numPr>
        <w:ind w:left="360" w:hanging="240"/>
      </w:pPr>
      <w:r>
        <w:rPr>
          <w:b/>
          <w:lang w:val="en-US"/>
        </w:rPr>
        <w:t xml:space="preserve">Data security:</w:t>
      </w:r>
      <w:r>
        <w:rPr>
          <w:lang w:val="en-US"/>
        </w:rPr>
        <w:t xml:space="preserve"> Larkfield hosts client data in a UK data centre, encrypted at rest and in transit, with named-user access and quarterly access review. Larkfield will notify Harbourside of a personal-data breach within 24 hours of confirming it and will state what it knows at that time, including what happened, affected data, and actions being taken.</w:t>
      </w:r>
    </w:p>
    <w:p>
      <w:pPr>
        <w:pStyle w:val="ListParagraph"/>
        <w:numPr>
          <w:ilvl w:val="0"/>
          <w:numId w:val="2"/>
        </w:numPr>
        <w:ind w:left="360" w:hanging="240"/>
      </w:pPr>
      <w:r>
        <w:rPr>
          <w:b/>
          <w:lang w:val="en-US"/>
        </w:rPr>
        <w:t xml:space="preserve">Accessibility:</w:t>
      </w:r>
      <w:r>
        <w:rPr>
          <w:lang w:val="en-US"/>
        </w:rPr>
        <w:t xml:space="preserve"> Where dashboard outputs are developed, Larkfield builds them to WCAG 2.2 level AA and tests them before launch and at each major release. Accessibility defects found in testing are recorded and fixed before a dashboard goes live.</w:t>
      </w:r>
    </w:p>
    <w:p>
      <w:pPr>
        <w:pStyle w:val="ListParagraph"/>
        <w:numPr>
          <w:ilvl w:val="0"/>
          <w:numId w:val="2"/>
        </w:numPr>
        <w:ind w:left="360" w:hanging="240"/>
      </w:pPr>
      <w:r>
        <w:rPr>
          <w:b/>
          <w:lang w:val="en-US"/>
        </w:rPr>
        <w:t xml:space="preserve">Governance and escalation:</w:t>
      </w:r>
      <w:r>
        <w:rPr>
          <w:lang w:val="en-US"/>
        </w:rPr>
        <w:t xml:space="preserve"> Imogen Farrow is the named escalation route, followed by Larkfield's managing director.</w:t>
      </w:r>
    </w:p>
    <w:p>
      <w:pPr>
        <w:pStyle w:val="ListParagraph"/>
        <w:numPr>
          <w:ilvl w:val="0"/>
          <w:numId w:val="2"/>
        </w:numPr>
        <w:ind w:left="360" w:hanging="240"/>
      </w:pPr>
      <w:r>
        <w:rPr>
          <w:b/>
          <w:lang w:val="en-US"/>
        </w:rPr>
        <w:t xml:space="preserve">Acceptance:</w:t>
      </w:r>
      <w:r>
        <w:rPr>
          <w:lang w:val="en-US"/>
        </w:rPr>
        <w:t xml:space="preserve"> Larkfield will demonstrate each deliverable to Harbourside's nominated approver. Harbourside will confirm acceptance in writing against criteria agreed in discovery, or list material issues for correction.</w:t>
      </w:r>
    </w:p>
    <w:p>
      <w:pPr>
        <w:pStyle w:val="ListParagraph"/>
        <w:numPr>
          <w:ilvl w:val="0"/>
          <w:numId w:val="2"/>
        </w:numPr>
        <w:ind w:left="360" w:hanging="240"/>
      </w:pPr>
      <w:r>
        <w:rPr>
          <w:b/>
          <w:lang w:val="en-US"/>
        </w:rPr>
        <w:t xml:space="preserve">Contract terms:</w:t>
      </w:r>
      <w:r>
        <w:rPr>
          <w:lang w:val="en-US"/>
        </w:rPr>
        <w:t xml:space="preserve"> Larkfield accepts Harbourside's standard terms and conditions.</w:t>
      </w:r>
    </w:p>
    <w:p>
      <w:pPr>
        <w:pStyle w:val="ListParagraph"/>
        <w:numPr>
          <w:ilvl w:val="0"/>
          <w:numId w:val="2"/>
        </w:numPr>
        <w:ind w:left="360" w:hanging="240"/>
      </w:pPr>
      <w:r>
        <w:rPr>
          <w:b/>
          <w:lang w:val="en-US"/>
        </w:rPr>
        <w:t xml:space="preserve">Governing law and jurisdiction:</w:t>
      </w:r>
      <w:r>
        <w:rPr>
          <w:lang w:val="en-US"/>
        </w:rPr>
        <w:t xml:space="preserve"> The law of England and Wales applies. Disputes will be referred to the courts of England and Wales.</w:t>
      </w:r>
    </w:p>
    <w:p>
      <w:pPr>
        <w:pStyle w:val="Heading2"/>
        <w:outlineLvl w:val="1"/>
      </w:pPr>
      <w:r>
        <w:rPr>
          <w:lang w:val="en-US"/>
        </w:rPr>
        <w:t xml:space="preserve">Next Steps</w:t>
      </w:r>
    </w:p>
    <w:p>
      <w:pPr>
        <w:pStyle w:val="Normal"/>
      </w:pPr>
      <w:r>
        <w:rPr>
          <w:lang w:val="en-US"/>
        </w:rPr>
        <w:t xml:space="preserve">To proceed, Harbourside should confirm acceptance of this proposal and nominate the operational lead and deliverable approver for the engagement. We will then arrange kickoff, confirm the stakeholder interview schedule, initiate the two-week discovery phase, and agree acceptance criteria for the advisory deliverables.</w:t>
      </w:r>
    </w:p>
    <w:p>
      <w:pPr>
        <w:pStyle w:val="Normal"/>
      </w:pPr>
      <w:r>
        <w:rPr>
          <w:lang w:val="en-US"/>
        </w:rPr>
        <w:t xml:space="preserve">Upon acceptance, Larkfield Analytics Ltd will begin the ten-week engagement and schedule the week-nine board presentation with Harbourside.</w:t>
      </w:r>
    </w:p>
    <w:p>
      <w:pPr>
        <w:pStyle w:val="Heading2"/>
        <w:outlineLvl w:val="1"/>
      </w:pPr>
      <w:r>
        <w:rPr>
          <w:lang w:val="en-US"/>
        </w:rPr>
        <w:t xml:space="preserve">References</w:t>
      </w:r>
    </w:p>
    <w:p>
      <w:pPr>
        <w:pStyle w:val="ListParagraph"/>
        <w:numPr>
          <w:ilvl w:val="0"/>
          <w:numId w:val="3"/>
        </w:numPr>
        <w:ind w:left="360" w:hanging="240"/>
      </w:pPr>
      <w:r>
        <w:rPr>
          <w:lang w:val="en-US"/>
        </w:rPr>
        <w:t xml:space="preserve">brief-harbourside-housing.md</w:t>
      </w:r>
    </w:p>
    <w:p>
      <w:pPr>
        <w:pStyle w:val="ListParagraph"/>
        <w:numPr>
          <w:ilvl w:val="0"/>
          <w:numId w:val="3"/>
        </w:numPr>
        <w:ind w:left="360" w:hanging="240"/>
      </w:pPr>
      <w:r>
        <w:rPr>
          <w:lang w:val="en-US"/>
        </w:rPr>
        <w:t xml:space="preserve">Company.txt</w:t>
      </w:r>
    </w:p>
    <w:p>
      <w:pPr>
        <w:pStyle w:val="ListParagraph"/>
        <w:numPr>
          <w:ilvl w:val="0"/>
          <w:numId w:val="3"/>
        </w:numPr>
        <w:ind w:left="360" w:hanging="240"/>
      </w:pPr>
      <w:r>
        <w:rPr>
          <w:lang w:val="en-US"/>
        </w:rPr>
        <w:t xml:space="preserve">Services.txt</w:t>
      </w:r>
    </w:p>
    <w:p>
      <w:pPr>
        <w:pStyle w:val="ListParagraph"/>
        <w:numPr>
          <w:ilvl w:val="0"/>
          <w:numId w:val="3"/>
        </w:numPr>
        <w:ind w:left="360" w:hanging="240"/>
      </w:pPr>
      <w:r>
        <w:rPr>
          <w:lang w:val="en-US"/>
        </w:rPr>
        <w:t xml:space="preserve">Delivery team (all invented).txt</w:t>
      </w:r>
    </w:p>
    <w:p>
      <w:pPr>
        <w:pStyle w:val="ListParagraph"/>
        <w:numPr>
          <w:ilvl w:val="0"/>
          <w:numId w:val="3"/>
        </w:numPr>
        <w:ind w:left="360" w:hanging="240"/>
      </w:pPr>
      <w:r>
        <w:rPr>
          <w:lang w:val="en-US"/>
        </w:rPr>
        <w:t xml:space="preserve">Past performance (all invented).txt</w:t>
      </w:r>
    </w:p>
    <w:p>
      <w:pPr>
        <w:pStyle w:val="ListParagraph"/>
        <w:numPr>
          <w:ilvl w:val="0"/>
          <w:numId w:val="3"/>
        </w:numPr>
        <w:ind w:left="360" w:hanging="240"/>
      </w:pPr>
      <w:r>
        <w:rPr>
          <w:lang w:val="en-US"/>
        </w:rPr>
        <w:t xml:space="preserve">Standard rates (invented, excluding VAT).txt</w:t>
      </w:r>
    </w:p>
    <w:p>
      <w:pPr>
        <w:pStyle w:val="ListParagraph"/>
        <w:numPr>
          <w:ilvl w:val="0"/>
          <w:numId w:val="3"/>
        </w:numPr>
        <w:ind w:left="360" w:hanging="240"/>
      </w:pPr>
      <w:r>
        <w:rPr>
          <w:lang w:val="en-US"/>
        </w:rPr>
        <w:t xml:space="preserve">Implementation approach and training.txt</w:t>
      </w:r>
    </w:p>
    <w:p>
      <w:pPr>
        <w:pStyle w:val="ListParagraph"/>
        <w:numPr>
          <w:ilvl w:val="0"/>
          <w:numId w:val="3"/>
        </w:numPr>
        <w:ind w:left="360" w:hanging="240"/>
      </w:pPr>
      <w:r>
        <w:rPr>
          <w:lang w:val="en-US"/>
        </w:rPr>
        <w:t xml:space="preserve">Method and assurance.txt</w:t>
      </w:r>
    </w:p>
    <w:p>
      <w:pPr>
        <w:pStyle w:val="ListParagraph"/>
        <w:numPr>
          <w:ilvl w:val="0"/>
          <w:numId w:val="3"/>
        </w:numPr>
        <w:ind w:left="360" w:hanging="240"/>
      </w:pPr>
      <w:r>
        <w:rPr>
          <w:lang w:val="en-US"/>
        </w:rPr>
        <w:t xml:space="preserve">Forms and declarations (invented).txt</w:t>
      </w:r>
    </w:p>
    <w:sectPr>
      <w:footerReference xmlns:r="http://schemas.openxmlformats.org/officeDocument/2006/relationships" w:type="default" r:id="R218d2bef05754505"/>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Source Serif 4">
    <w:family w:val="roman"/>
    <w:pitch w:val="variable"/>
  </w:font>
  <w:font w:name="DM Sans">
    <w:family w:val="swiss"/>
    <w:pitch w:val="variable"/>
  </w:font>
  <w:font w:name="Source Code Pr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rPr>
        <w:color w:val="0E7480"/>
      </w:rPr>
    </w:lvl>
    <w:lvl w:ilvl="1">
      <w:start w:val="1"/>
      <w:numFmt w:val="bullet"/>
      <w:lvlText w:val="◦"/>
      <w:lvlJc w:val="left"/>
      <w:pPr>
        <w:ind w:left="1440" w:hanging="360"/>
      </w:pPr>
      <w:rPr>
        <w:color w:val="5B636E"/>
      </w:rPr>
    </w:lvl>
    <w:lvl w:ilvl="2">
      <w:start w:val="1"/>
      <w:numFmt w:val="bullet"/>
      <w:lvlText w:val="▪"/>
      <w:lvlJc w:val="left"/>
      <w:pPr>
        <w:ind w:left="2160" w:hanging="360"/>
      </w:pPr>
      <w:rPr>
        <w:color w:val="5B636E"/>
      </w:rPr>
    </w:lvl>
    <w:lvl w:ilvl="3">
      <w:start w:val="1"/>
      <w:numFmt w:val="bullet"/>
      <w:lvlText w:val="•"/>
      <w:lvlJc w:val="left"/>
      <w:pPr>
        <w:ind w:left="2880" w:hanging="360"/>
      </w:pPr>
      <w:rPr>
        <w:color w:val="5B636E"/>
      </w:rPr>
    </w:lvl>
    <w:lvl w:ilvl="4">
      <w:start w:val="1"/>
      <w:numFmt w:val="bullet"/>
      <w:lvlText w:val="◦"/>
      <w:lvlJc w:val="left"/>
      <w:pPr>
        <w:ind w:left="3600" w:hanging="360"/>
      </w:pPr>
      <w:rPr>
        <w:color w:val="5B636E"/>
      </w:rPr>
    </w:lvl>
    <w:lvl w:ilvl="5">
      <w:start w:val="1"/>
      <w:numFmt w:val="bullet"/>
      <w:lvlText w:val="▪"/>
      <w:lvlJc w:val="left"/>
      <w:pPr>
        <w:ind w:left="4320" w:hanging="360"/>
      </w:pPr>
      <w:rPr>
        <w:color w:val="5B636E"/>
      </w:rPr>
    </w:lvl>
    <w:lvl w:ilvl="6">
      <w:start w:val="1"/>
      <w:numFmt w:val="bullet"/>
      <w:lvlText w:val="•"/>
      <w:lvlJc w:val="left"/>
      <w:pPr>
        <w:ind w:left="5040" w:hanging="360"/>
      </w:pPr>
      <w:rPr>
        <w:color w:val="5B636E"/>
      </w:rPr>
    </w:lvl>
    <w:lvl w:ilvl="7">
      <w:start w:val="1"/>
      <w:numFmt w:val="bullet"/>
      <w:lvlText w:val="◦"/>
      <w:lvlJc w:val="left"/>
      <w:pPr>
        <w:ind w:left="5760" w:hanging="360"/>
      </w:pPr>
      <w:rPr>
        <w:color w:val="5B636E"/>
      </w:rPr>
    </w:lvl>
    <w:lvl w:ilvl="8">
      <w:start w:val="1"/>
      <w:numFmt w:val="bullet"/>
      <w:lvlText w:val="▪"/>
      <w:lvlJc w:val="left"/>
      <w:pPr>
        <w:ind w:left="6480" w:hanging="360"/>
      </w:pPr>
      <w:rPr>
        <w:color w:val="5B636E"/>
      </w:rPr>
    </w:lvl>
  </w:abstractNum>
  <w:abstractNum w:abstractNumId="2">
    <w:multiLevelType w:val="hybridMultilevel"/>
    <w:lvl w:ilvl="0">
      <w:start w:val="1"/>
      <w:numFmt w:val="bullet"/>
      <w:lvlText w:val="•"/>
      <w:lvlJc w:val="left"/>
      <w:pPr>
        <w:ind w:left="720" w:hanging="360"/>
      </w:pPr>
      <w:rPr>
        <w:color w:val="0E7480"/>
      </w:rPr>
    </w:lvl>
    <w:lvl w:ilvl="1">
      <w:start w:val="1"/>
      <w:numFmt w:val="bullet"/>
      <w:lvlText w:val="◦"/>
      <w:lvlJc w:val="left"/>
      <w:pPr>
        <w:ind w:left="1440" w:hanging="360"/>
      </w:pPr>
      <w:rPr>
        <w:color w:val="5B636E"/>
      </w:rPr>
    </w:lvl>
    <w:lvl w:ilvl="2">
      <w:start w:val="1"/>
      <w:numFmt w:val="bullet"/>
      <w:lvlText w:val="▪"/>
      <w:lvlJc w:val="left"/>
      <w:pPr>
        <w:ind w:left="2160" w:hanging="360"/>
      </w:pPr>
      <w:rPr>
        <w:color w:val="5B636E"/>
      </w:rPr>
    </w:lvl>
    <w:lvl w:ilvl="3">
      <w:start w:val="1"/>
      <w:numFmt w:val="bullet"/>
      <w:lvlText w:val="•"/>
      <w:lvlJc w:val="left"/>
      <w:pPr>
        <w:ind w:left="2880" w:hanging="360"/>
      </w:pPr>
      <w:rPr>
        <w:color w:val="5B636E"/>
      </w:rPr>
    </w:lvl>
    <w:lvl w:ilvl="4">
      <w:start w:val="1"/>
      <w:numFmt w:val="bullet"/>
      <w:lvlText w:val="◦"/>
      <w:lvlJc w:val="left"/>
      <w:pPr>
        <w:ind w:left="3600" w:hanging="360"/>
      </w:pPr>
      <w:rPr>
        <w:color w:val="5B636E"/>
      </w:rPr>
    </w:lvl>
    <w:lvl w:ilvl="5">
      <w:start w:val="1"/>
      <w:numFmt w:val="bullet"/>
      <w:lvlText w:val="▪"/>
      <w:lvlJc w:val="left"/>
      <w:pPr>
        <w:ind w:left="4320" w:hanging="360"/>
      </w:pPr>
      <w:rPr>
        <w:color w:val="5B636E"/>
      </w:rPr>
    </w:lvl>
    <w:lvl w:ilvl="6">
      <w:start w:val="1"/>
      <w:numFmt w:val="bullet"/>
      <w:lvlText w:val="•"/>
      <w:lvlJc w:val="left"/>
      <w:pPr>
        <w:ind w:left="5040" w:hanging="360"/>
      </w:pPr>
      <w:rPr>
        <w:color w:val="5B636E"/>
      </w:rPr>
    </w:lvl>
    <w:lvl w:ilvl="7">
      <w:start w:val="1"/>
      <w:numFmt w:val="bullet"/>
      <w:lvlText w:val="◦"/>
      <w:lvlJc w:val="left"/>
      <w:pPr>
        <w:ind w:left="5760" w:hanging="360"/>
      </w:pPr>
      <w:rPr>
        <w:color w:val="5B636E"/>
      </w:rPr>
    </w:lvl>
    <w:lvl w:ilvl="8">
      <w:start w:val="1"/>
      <w:numFmt w:val="bullet"/>
      <w:lvlText w:val="▪"/>
      <w:lvlJc w:val="left"/>
      <w:pPr>
        <w:ind w:left="6480" w:hanging="360"/>
      </w:pPr>
      <w:rPr>
        <w:color w:val="5B636E"/>
      </w:rPr>
    </w:lvl>
  </w:abstractNum>
  <w:abstractNum w:abstractNumId="3">
    <w:multiLevelType w:val="hybridMultilevel"/>
    <w:lvl w:ilvl="0">
      <w:start w:val="1"/>
      <w:numFmt w:val="decimal"/>
      <w:lvlText w:val="%1."/>
      <w:lvlJc w:val="left"/>
      <w:pPr>
        <w:ind w:left="720" w:hanging="360"/>
      </w:pPr>
      <w:rPr>
        <w:b/>
        <w:color w:val="0E7480"/>
      </w:rPr>
    </w:lvl>
    <w:lvl w:ilvl="1">
      <w:start w:val="1"/>
      <w:numFmt w:val="decimal"/>
      <w:lvlText w:val="%2."/>
      <w:lvlJc w:val="left"/>
      <w:pPr>
        <w:ind w:left="1440" w:hanging="360"/>
      </w:pPr>
      <w:rPr>
        <w:b/>
        <w:color w:val="0E7480"/>
      </w:rPr>
    </w:lvl>
    <w:lvl w:ilvl="2">
      <w:start w:val="1"/>
      <w:numFmt w:val="decimal"/>
      <w:lvlText w:val="%3."/>
      <w:lvlJc w:val="left"/>
      <w:pPr>
        <w:ind w:left="2160" w:hanging="360"/>
      </w:pPr>
      <w:rPr>
        <w:b/>
        <w:color w:val="0E7480"/>
      </w:rPr>
    </w:lvl>
    <w:lvl w:ilvl="3">
      <w:start w:val="1"/>
      <w:numFmt w:val="decimal"/>
      <w:lvlText w:val="%4."/>
      <w:lvlJc w:val="left"/>
      <w:pPr>
        <w:ind w:left="2880" w:hanging="360"/>
      </w:pPr>
      <w:rPr>
        <w:b/>
        <w:color w:val="0E7480"/>
      </w:rPr>
    </w:lvl>
    <w:lvl w:ilvl="4">
      <w:start w:val="1"/>
      <w:numFmt w:val="decimal"/>
      <w:lvlText w:val="%5."/>
      <w:lvlJc w:val="left"/>
      <w:pPr>
        <w:ind w:left="3600" w:hanging="360"/>
      </w:pPr>
      <w:rPr>
        <w:b/>
        <w:color w:val="0E7480"/>
      </w:rPr>
    </w:lvl>
    <w:lvl w:ilvl="5">
      <w:start w:val="1"/>
      <w:numFmt w:val="decimal"/>
      <w:lvlText w:val="%6."/>
      <w:lvlJc w:val="left"/>
      <w:pPr>
        <w:ind w:left="4320" w:hanging="360"/>
      </w:pPr>
      <w:rPr>
        <w:b/>
        <w:color w:val="0E7480"/>
      </w:rPr>
    </w:lvl>
    <w:lvl w:ilvl="6">
      <w:start w:val="1"/>
      <w:numFmt w:val="decimal"/>
      <w:lvlText w:val="%7."/>
      <w:lvlJc w:val="left"/>
      <w:pPr>
        <w:ind w:left="5040" w:hanging="360"/>
      </w:pPr>
      <w:rPr>
        <w:b/>
        <w:color w:val="0E7480"/>
      </w:rPr>
    </w:lvl>
    <w:lvl w:ilvl="7">
      <w:start w:val="1"/>
      <w:numFmt w:val="decimal"/>
      <w:lvlText w:val="%8."/>
      <w:lvlJc w:val="left"/>
      <w:pPr>
        <w:ind w:left="5760" w:hanging="360"/>
      </w:pPr>
      <w:rPr>
        <w:b/>
        <w:color w:val="0E7480"/>
      </w:rPr>
    </w:lvl>
    <w:lvl w:ilvl="8">
      <w:start w:val="1"/>
      <w:numFmt w:val="decimal"/>
      <w:lvlText w:val="%9."/>
      <w:lvlJc w:val="left"/>
      <w:pPr>
        <w:ind w:left="6480" w:hanging="360"/>
      </w:pPr>
      <w:rPr>
        <w:b/>
        <w:color w:val="0E7480"/>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http://schemas.openxmlformats.org/wordprocessingml/2006/main">
  <w:docVars>
    <w:docVar w:name="CoverComposition" w:val="minimal"/>
  </w:docVars>
</w:settings>
</file>

<file path=word/styles.xml><?xml version="1.0" encoding="utf-8"?>
<w:styles xmlns:w="http://schemas.openxmlformats.org/wordprocessingml/2006/main">
  <w:docDefaults>
    <w:rPrDefault>
      <w:rPr>
        <w:rFonts w:ascii="Source Serif 4" w:hAnsi="Source Serif 4" w:eastAsia="Source Serif 4" w:cs="Source Serif 4"/>
        <w:color w:val="2B3038"/>
        <w:sz w:val="21"/>
        <w:szCs w:val="21"/>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51" w:line="336" w:lineRule="atLeast"/>
      <w:ind w:left="0" w:right="0" w:firstLine="0"/>
      <w:jc w:val="left"/>
    </w:pPr>
    <w:rPr>
      <w:rFonts w:ascii="Source Serif 4" w:hAnsi="Source Serif 4"/>
      <w:b w:val="false"/>
      <w:bCs w:val="false"/>
      <w:i w:val="false"/>
      <w:iCs w:val="false"/>
      <w:caps w:val="false"/>
      <w:color w:val="2B3038"/>
      <w:sz w:val="21"/>
      <w:szCs w:val="21"/>
    </w:rPr>
  </w:style>
  <w:style w:type="paragraph" w:styleId="ListParagraph">
    <w:name w:val="List Paragraph"/>
    <w:basedOn w:val="Normal"/>
    <w:qFormat/>
    <w:pPr>
      <w:spacing w:before="0" w:after="63" w:line="336" w:lineRule="atLeast"/>
      <w:ind w:left="0" w:right="0" w:firstLine="0"/>
      <w:jc w:val="left"/>
    </w:pPr>
    <w:rPr>
      <w:rFonts w:ascii="Source Serif 4" w:hAnsi="Source Serif 4"/>
      <w:b w:val="false"/>
      <w:bCs w:val="false"/>
      <w:i w:val="false"/>
      <w:iCs w:val="false"/>
      <w:caps w:val="false"/>
      <w:color w:val="2B3038"/>
      <w:sz w:val="21"/>
      <w:szCs w:val="21"/>
    </w:rPr>
  </w:style>
  <w:style w:type="paragraph" w:styleId="Heading1">
    <w:name w:val="Heading 1"/>
    <w:basedOn w:val="Normal"/>
    <w:next w:val="Normal"/>
    <w:qFormat/>
    <w:pPr>
      <w:keepNext/>
      <w:keepLines/>
      <w:pageBreakBefore w:val="true"/>
      <w:suppressAutoHyphens/>
      <w:spacing w:before="0" w:after="240" w:line="488" w:lineRule="atLeast"/>
      <w:ind w:left="0" w:right="0" w:firstLine="0"/>
      <w:jc w:val="left"/>
      <w:outlineLvl w:val="0"/>
    </w:pPr>
    <w:rPr>
      <w:rFonts w:ascii="DM Sans" w:hAnsi="DM Sans"/>
      <w:b w:val="true"/>
      <w:bCs w:val="true"/>
      <w:i w:val="false"/>
      <w:iCs w:val="false"/>
      <w:caps w:val="false"/>
      <w:color w:val="1D232B"/>
      <w:spacing w:val="-5"/>
      <w:sz w:val="40"/>
      <w:szCs w:val="40"/>
    </w:rPr>
  </w:style>
  <w:style w:type="paragraph" w:styleId="Heading2">
    <w:name w:val="Heading 2"/>
    <w:basedOn w:val="Normal"/>
    <w:next w:val="Normal"/>
    <w:qFormat/>
    <w:pPr>
      <w:keepNext/>
      <w:keepLines/>
      <w:pageBreakBefore w:val="false"/>
      <w:pBdr>
        <w:bottom w:val="single" w:color="D3DCDF" w:sz="6" w:space="5"/>
      </w:pBdr>
      <w:suppressAutoHyphens/>
      <w:spacing w:before="462" w:after="178" w:line="394" w:lineRule="atLeast"/>
      <w:ind w:left="0" w:right="0" w:firstLine="0"/>
      <w:jc w:val="left"/>
      <w:outlineLvl w:val="1"/>
    </w:pPr>
    <w:rPr>
      <w:rFonts w:ascii="DM Sans" w:hAnsi="DM Sans"/>
      <w:b w:val="true"/>
      <w:bCs w:val="true"/>
      <w:i w:val="false"/>
      <w:iCs w:val="false"/>
      <w:caps w:val="false"/>
      <w:color w:val="1D232B"/>
      <w:spacing w:val="-4"/>
      <w:sz w:val="32"/>
      <w:szCs w:val="32"/>
    </w:rPr>
  </w:style>
  <w:style w:type="paragraph" w:styleId="Heading3">
    <w:name w:val="Heading 3"/>
    <w:basedOn w:val="Normal"/>
    <w:next w:val="Normal"/>
    <w:qFormat/>
    <w:pPr>
      <w:keepNext/>
      <w:keepLines/>
      <w:pageBreakBefore w:val="false"/>
      <w:suppressAutoHyphens/>
      <w:spacing w:before="205" w:after="117" w:line="318" w:lineRule="atLeast"/>
      <w:ind w:left="0" w:right="0" w:firstLine="0"/>
      <w:jc w:val="left"/>
      <w:outlineLvl w:val="2"/>
    </w:pPr>
    <w:rPr>
      <w:rFonts w:ascii="DM Sans" w:hAnsi="DM Sans"/>
      <w:b w:val="true"/>
      <w:bCs w:val="true"/>
      <w:i w:val="false"/>
      <w:iCs w:val="false"/>
      <w:caps w:val="false"/>
      <w:color w:val="1D232B"/>
      <w:spacing w:val="-3"/>
      <w:sz w:val="26"/>
      <w:szCs w:val="26"/>
    </w:rPr>
  </w:style>
  <w:style w:type="paragraph" w:styleId="Heading4">
    <w:name w:val="Heading 4"/>
    <w:basedOn w:val="Normal"/>
    <w:next w:val="Normal"/>
    <w:qFormat/>
    <w:pPr>
      <w:keepNext/>
      <w:keepLines/>
      <w:pageBreakBefore w:val="false"/>
      <w:suppressAutoHyphens/>
      <w:spacing w:before="117" w:after="82" w:line="287" w:lineRule="atLeast"/>
      <w:ind w:left="0" w:right="0" w:firstLine="0"/>
      <w:jc w:val="left"/>
      <w:outlineLvl w:val="3"/>
    </w:pPr>
    <w:rPr>
      <w:rFonts w:ascii="DM Sans" w:hAnsi="DM Sans"/>
      <w:b w:val="true"/>
      <w:bCs w:val="true"/>
      <w:i w:val="false"/>
      <w:iCs w:val="false"/>
      <w:caps w:val="false"/>
      <w:color w:val="1D232B"/>
      <w:spacing w:val="-3"/>
      <w:sz w:val="24"/>
      <w:szCs w:val="24"/>
    </w:rPr>
  </w:style>
  <w:style w:type="paragraph" w:styleId="Heading5">
    <w:name w:val="Heading 5"/>
    <w:basedOn w:val="Normal"/>
    <w:next w:val="Normal"/>
    <w:qFormat/>
    <w:pPr>
      <w:keepNext/>
      <w:keepLines/>
      <w:pageBreakBefore w:val="false"/>
      <w:suppressAutoHyphens/>
      <w:spacing w:before="73" w:after="65" w:line="228" w:lineRule="atLeast"/>
      <w:ind w:left="0" w:right="0" w:firstLine="0"/>
      <w:jc w:val="left"/>
      <w:outlineLvl w:val="4"/>
    </w:pPr>
    <w:rPr>
      <w:rFonts w:ascii="DM Sans" w:hAnsi="DM Sans"/>
      <w:b w:val="true"/>
      <w:bCs w:val="true"/>
      <w:i w:val="false"/>
      <w:iCs w:val="false"/>
      <w:caps w:val="true"/>
      <w:color w:val="1D232B"/>
      <w:spacing w:val="15"/>
      <w:sz w:val="19"/>
      <w:szCs w:val="19"/>
    </w:rPr>
  </w:style>
  <w:style w:type="paragraph" w:styleId="Heading6">
    <w:name w:val="Heading 6"/>
    <w:basedOn w:val="Normal"/>
    <w:next w:val="Normal"/>
    <w:qFormat/>
    <w:pPr>
      <w:keepNext/>
      <w:keepLines/>
      <w:pageBreakBefore w:val="false"/>
      <w:suppressAutoHyphens/>
      <w:spacing w:before="73" w:after="65" w:line="228" w:lineRule="atLeast"/>
      <w:ind w:left="0" w:right="0" w:firstLine="0"/>
      <w:jc w:val="left"/>
      <w:outlineLvl w:val="5"/>
    </w:pPr>
    <w:rPr>
      <w:rFonts w:ascii="DM Sans" w:hAnsi="DM Sans"/>
      <w:b w:val="true"/>
      <w:bCs w:val="true"/>
      <w:i w:val="false"/>
      <w:iCs w:val="false"/>
      <w:caps w:val="true"/>
      <w:color w:val="1D232B"/>
      <w:spacing w:val="15"/>
      <w:sz w:val="19"/>
      <w:szCs w:val="19"/>
    </w:rPr>
  </w:style>
  <w:style w:type="paragraph" w:styleId="DocumentTitle" w:customStyle="true">
    <w:name w:val="Document Title"/>
    <w:basedOn w:val="Normal"/>
    <w:next w:val="Normal"/>
    <w:qFormat/>
    <w:pPr>
      <w:keepNext/>
      <w:keepLines/>
      <w:pBdr>
        <w:bottom w:val="single" w:color="D3DCDF" w:sz="6" w:space="7"/>
      </w:pBdr>
      <w:suppressAutoHyphens/>
      <w:spacing w:before="0" w:after="755" w:line="536" w:lineRule="atLeast"/>
      <w:ind w:left="0" w:right="0" w:firstLine="0"/>
      <w:jc w:val="left"/>
      <w:outlineLvl w:val="0"/>
    </w:pPr>
    <w:rPr>
      <w:rFonts w:ascii="DM Sans" w:hAnsi="DM Sans"/>
      <w:b w:val="true"/>
      <w:bCs w:val="true"/>
      <w:i w:val="false"/>
      <w:iCs w:val="false"/>
      <w:caps w:val="false"/>
      <w:color w:val="1D232B"/>
      <w:spacing w:val="-12"/>
      <w:sz w:val="50"/>
      <w:szCs w:val="50"/>
    </w:rPr>
  </w:style>
  <w:style w:type="paragraph" w:styleId="TOCHeading">
    <w:name w:val="TOC Heading"/>
    <w:basedOn w:val="Normal"/>
    <w:qFormat/>
    <w:pPr>
      <w:keepNext/>
      <w:keepLines/>
      <w:pBdr>
        <w:bottom w:val="single" w:color="D3DCDF" w:sz="6" w:space="5"/>
      </w:pBdr>
      <w:suppressAutoHyphens/>
      <w:spacing w:before="0" w:after="355" w:line="394" w:lineRule="atLeast"/>
      <w:ind w:left="0" w:right="0" w:firstLine="0"/>
      <w:jc w:val="left"/>
    </w:pPr>
    <w:rPr>
      <w:rFonts w:ascii="DM Sans" w:hAnsi="DM Sans"/>
      <w:b w:val="true"/>
      <w:bCs w:val="true"/>
      <w:i w:val="false"/>
      <w:iCs w:val="false"/>
      <w:caps w:val="false"/>
      <w:color w:val="1D232B"/>
      <w:spacing w:val="-4"/>
      <w:sz w:val="32"/>
      <w:szCs w:val="32"/>
    </w:rPr>
  </w:style>
  <w:style w:type="paragraph" w:styleId="TOC1">
    <w:name w:val="TOC 1"/>
    <w:basedOn w:val="Normal"/>
    <w:qFormat/>
    <w:pPr>
      <w:keepLines/>
      <w:suppressAutoHyphens/>
      <w:spacing w:before="105" w:after="105" w:line="284" w:lineRule="atLeast"/>
      <w:ind w:left="0" w:right="0" w:firstLine="0"/>
      <w:jc w:val="left"/>
    </w:pPr>
    <w:rPr>
      <w:rFonts w:ascii="DM Sans" w:hAnsi="DM Sans"/>
      <w:b w:val="true"/>
      <w:bCs w:val="true"/>
      <w:i w:val="false"/>
      <w:iCs w:val="false"/>
      <w:caps w:val="false"/>
      <w:color w:val="1D232B"/>
      <w:sz w:val="21"/>
      <w:szCs w:val="21"/>
    </w:rPr>
  </w:style>
  <w:style w:type="paragraph" w:styleId="TOC2">
    <w:name w:val="TOC 2"/>
    <w:basedOn w:val="Normal"/>
    <w:qFormat/>
    <w:pPr>
      <w:keepLines/>
      <w:suppressAutoHyphens/>
      <w:spacing w:before="105" w:after="105" w:line="284" w:lineRule="atLeast"/>
      <w:ind w:left="462" w:right="0" w:firstLine="0"/>
      <w:jc w:val="left"/>
    </w:pPr>
    <w:rPr>
      <w:rFonts w:ascii="Source Serif 4" w:hAnsi="Source Serif 4"/>
      <w:b w:val="false"/>
      <w:bCs w:val="false"/>
      <w:i w:val="false"/>
      <w:iCs w:val="false"/>
      <w:caps w:val="false"/>
      <w:color w:val="2B3038"/>
      <w:sz w:val="21"/>
      <w:szCs w:val="21"/>
    </w:rPr>
  </w:style>
  <w:style w:type="paragraph" w:styleId="TOC3">
    <w:name w:val="TOC 3"/>
    <w:basedOn w:val="Normal"/>
    <w:qFormat/>
    <w:pPr>
      <w:keepLines/>
      <w:suppressAutoHyphens/>
      <w:spacing w:before="105" w:after="105" w:line="252" w:lineRule="atLeast"/>
      <w:ind w:left="714" w:right="0" w:firstLine="0"/>
      <w:jc w:val="left"/>
    </w:pPr>
    <w:rPr>
      <w:rFonts w:ascii="Source Serif 4" w:hAnsi="Source Serif 4"/>
      <w:b w:val="false"/>
      <w:bCs w:val="false"/>
      <w:i w:val="false"/>
      <w:iCs w:val="false"/>
      <w:caps w:val="false"/>
      <w:color w:val="5B636E"/>
      <w:sz w:val="19"/>
      <w:szCs w:val="19"/>
    </w:rPr>
  </w:style>
  <w:style w:type="paragraph" w:styleId="Caption">
    <w:name w:val="Caption"/>
    <w:basedOn w:val="Normal"/>
    <w:qFormat/>
    <w:pPr>
      <w:suppressAutoHyphens/>
      <w:spacing w:before="103" w:after="151" w:line="262" w:lineRule="atLeast"/>
      <w:ind w:left="0" w:right="0" w:firstLine="0"/>
      <w:jc w:val="center"/>
    </w:pPr>
    <w:rPr>
      <w:rFonts w:ascii="DM Sans" w:hAnsi="DM Sans"/>
      <w:b w:val="false"/>
      <w:bCs w:val="false"/>
      <w:i w:val="false"/>
      <w:iCs w:val="false"/>
      <w:caps w:val="false"/>
      <w:color w:val="5B636E"/>
      <w:sz w:val="19"/>
      <w:szCs w:val="19"/>
    </w:rPr>
  </w:style>
  <w:style w:type="paragraph" w:styleId="Attribution" w:customStyle="true">
    <w:name w:val="Attribution"/>
    <w:basedOn w:val="Normal"/>
    <w:qFormat/>
    <w:pPr>
      <w:spacing w:before="0" w:after="151" w:line="234" w:lineRule="atLeast"/>
      <w:ind w:left="0" w:right="0" w:firstLine="0"/>
      <w:jc w:val="center"/>
    </w:pPr>
    <w:rPr>
      <w:rFonts w:ascii="DM Sans" w:hAnsi="DM Sans"/>
      <w:b w:val="false"/>
      <w:bCs w:val="false"/>
      <w:i w:val="true"/>
      <w:iCs w:val="true"/>
      <w:caps w:val="false"/>
      <w:color w:val="5B636E"/>
      <w:sz w:val="18"/>
      <w:szCs w:val="18"/>
    </w:rPr>
  </w:style>
  <w:style w:type="paragraph" w:styleId="Quote">
    <w:name w:val="Quote"/>
    <w:basedOn w:val="Normal"/>
    <w:qFormat/>
    <w:pPr>
      <w:pBdr>
        <w:left w:val="single" w:color="0E7480" w:sz="24" w:space="10"/>
      </w:pBdr>
      <w:spacing w:before="242" w:after="151" w:line="336" w:lineRule="atLeast"/>
      <w:ind w:left="270" w:right="0" w:firstLine="0"/>
      <w:jc w:val="left"/>
    </w:pPr>
    <w:rPr>
      <w:rFonts w:ascii="Source Serif 4" w:hAnsi="Source Serif 4"/>
      <w:b w:val="false"/>
      <w:bCs w:val="false"/>
      <w:i w:val="true"/>
      <w:iCs w:val="true"/>
      <w:caps w:val="false"/>
      <w:color w:val="414953"/>
      <w:sz w:val="21"/>
      <w:szCs w:val="21"/>
    </w:rPr>
  </w:style>
  <w:style w:type="paragraph" w:styleId="QuoteSource" w:customStyle="true">
    <w:name w:val="Quote Source"/>
    <w:basedOn w:val="Normal"/>
    <w:qFormat/>
    <w:pPr>
      <w:pBdr>
        <w:left w:val="single" w:color="0E7480" w:sz="24" w:space="10"/>
      </w:pBdr>
      <w:spacing w:before="242" w:after="151" w:line="336" w:lineRule="atLeast"/>
      <w:ind w:left="270" w:right="0" w:firstLine="0"/>
      <w:jc w:val="left"/>
    </w:pPr>
    <w:rPr>
      <w:rFonts w:ascii="DM Sans" w:hAnsi="DM Sans"/>
      <w:b w:val="false"/>
      <w:bCs w:val="false"/>
      <w:i w:val="false"/>
      <w:iCs w:val="false"/>
      <w:caps w:val="false"/>
      <w:color w:val="414953"/>
      <w:sz w:val="19"/>
      <w:szCs w:val="19"/>
    </w:rPr>
  </w:style>
  <w:style w:type="paragraph" w:styleId="PullQuote" w:customStyle="true">
    <w:name w:val="Pull Quote"/>
    <w:basedOn w:val="Normal"/>
    <w:qFormat/>
    <w:pPr>
      <w:keepLines/>
      <w:pBdr>
        <w:top w:val="single" w:color="0E7480" w:sz="13" w:space="8"/>
        <w:bottom w:val="single" w:color="D3DCDF" w:sz="6" w:space="8"/>
      </w:pBdr>
      <w:spacing w:before="338" w:after="338" w:line="339" w:lineRule="atLeast"/>
      <w:ind w:left="0" w:right="0" w:firstLine="0"/>
      <w:jc w:val="left"/>
    </w:pPr>
    <w:rPr>
      <w:rFonts w:ascii="DM Sans" w:hAnsi="DM Sans"/>
      <w:b w:val="false"/>
      <w:bCs w:val="false"/>
      <w:i w:val="false"/>
      <w:iCs w:val="false"/>
      <w:caps w:val="false"/>
      <w:color w:val="1D232B"/>
      <w:sz w:val="26"/>
      <w:szCs w:val="26"/>
    </w:rPr>
  </w:style>
  <w:style w:type="paragraph" w:styleId="Callout" w:customStyle="true">
    <w:name w:val="Callout"/>
    <w:basedOn w:val="Normal"/>
    <w:qFormat/>
    <w:pPr>
      <w:pBdr>
        <w:top w:val="single" w:color="F0F5F6" w:sz="2" w:space="9"/>
        <w:left w:val="single" w:color="0E7480" w:sz="24" w:space="11"/>
        <w:bottom w:val="single" w:color="F0F5F6" w:sz="2" w:space="9"/>
        <w:right w:val="single" w:color="F0F5F6" w:sz="2" w:space="11"/>
      </w:pBdr>
      <w:shd w:val="clear" w:color="auto" w:fill="F0F5F6"/>
      <w:spacing w:before="242" w:after="151" w:line="336" w:lineRule="atLeast"/>
      <w:ind w:left="281" w:right="226" w:firstLine="0"/>
      <w:jc w:val="left"/>
    </w:pPr>
    <w:rPr>
      <w:rFonts w:ascii="Source Serif 4" w:hAnsi="Source Serif 4"/>
      <w:b w:val="false"/>
      <w:bCs w:val="false"/>
      <w:i w:val="false"/>
      <w:iCs w:val="false"/>
      <w:caps w:val="false"/>
      <w:color w:val="2B3038"/>
      <w:sz w:val="21"/>
      <w:szCs w:val="21"/>
    </w:rPr>
  </w:style>
  <w:style w:type="paragraph" w:styleId="CalloutTip" w:customStyle="true">
    <w:name w:val="Callout Tip"/>
    <w:basedOn w:val="Normal"/>
    <w:qFormat/>
    <w:pPr>
      <w:pBdr>
        <w:top w:val="single" w:color="F0F5F6" w:sz="2" w:space="9"/>
        <w:left w:val="single" w:color="0E7480" w:sz="24" w:space="11"/>
        <w:bottom w:val="single" w:color="F0F5F6" w:sz="2" w:space="9"/>
        <w:right w:val="single" w:color="F0F5F6" w:sz="2" w:space="11"/>
      </w:pBdr>
      <w:shd w:val="clear" w:color="auto" w:fill="F0F5F6"/>
      <w:spacing w:before="242" w:after="151" w:line="336" w:lineRule="atLeast"/>
      <w:ind w:left="281" w:right="226" w:firstLine="0"/>
      <w:jc w:val="left"/>
    </w:pPr>
    <w:rPr>
      <w:rFonts w:ascii="Source Serif 4" w:hAnsi="Source Serif 4"/>
      <w:b w:val="false"/>
      <w:bCs w:val="false"/>
      <w:i w:val="false"/>
      <w:iCs w:val="false"/>
      <w:caps w:val="false"/>
      <w:color w:val="2B3038"/>
      <w:sz w:val="21"/>
      <w:szCs w:val="21"/>
    </w:rPr>
  </w:style>
  <w:style w:type="paragraph" w:styleId="CalloutWarning" w:customStyle="true">
    <w:name w:val="Callout Warning"/>
    <w:basedOn w:val="Normal"/>
    <w:qFormat/>
    <w:pPr>
      <w:pBdr>
        <w:top w:val="single" w:color="F0F5F6" w:sz="2" w:space="9"/>
        <w:left w:val="single" w:color="8A5300" w:sz="24" w:space="11"/>
        <w:bottom w:val="single" w:color="F0F5F6" w:sz="2" w:space="9"/>
        <w:right w:val="single" w:color="F0F5F6" w:sz="2" w:space="11"/>
      </w:pBdr>
      <w:shd w:val="clear" w:color="auto" w:fill="F0F5F6"/>
      <w:spacing w:before="242" w:after="151" w:line="336" w:lineRule="atLeast"/>
      <w:ind w:left="281" w:right="226" w:firstLine="0"/>
      <w:jc w:val="left"/>
    </w:pPr>
    <w:rPr>
      <w:rFonts w:ascii="Source Serif 4" w:hAnsi="Source Serif 4"/>
      <w:b w:val="false"/>
      <w:bCs w:val="false"/>
      <w:i w:val="false"/>
      <w:iCs w:val="false"/>
      <w:caps w:val="false"/>
      <w:color w:val="2B3038"/>
      <w:sz w:val="21"/>
      <w:szCs w:val="21"/>
    </w:rPr>
  </w:style>
  <w:style w:type="paragraph" w:styleId="CalloutNote" w:customStyle="true">
    <w:name w:val="Callout Note"/>
    <w:basedOn w:val="Normal"/>
    <w:qFormat/>
    <w:pPr>
      <w:pBdr>
        <w:top w:val="single" w:color="F0F5F6" w:sz="2" w:space="9"/>
        <w:left w:val="single" w:color="2D3748" w:sz="24" w:space="11"/>
        <w:bottom w:val="single" w:color="F0F5F6" w:sz="2" w:space="9"/>
        <w:right w:val="single" w:color="F0F5F6" w:sz="2" w:space="11"/>
      </w:pBdr>
      <w:shd w:val="clear" w:color="auto" w:fill="F0F5F6"/>
      <w:spacing w:before="242" w:after="151" w:line="336" w:lineRule="atLeast"/>
      <w:ind w:left="281" w:right="226" w:firstLine="0"/>
      <w:jc w:val="left"/>
    </w:pPr>
    <w:rPr>
      <w:rFonts w:ascii="Source Serif 4" w:hAnsi="Source Serif 4"/>
      <w:b w:val="false"/>
      <w:bCs w:val="false"/>
      <w:i w:val="false"/>
      <w:iCs w:val="false"/>
      <w:caps w:val="false"/>
      <w:color w:val="2B3038"/>
      <w:sz w:val="21"/>
      <w:szCs w:val="21"/>
    </w:rPr>
  </w:style>
  <w:style w:type="paragraph" w:styleId="Panel" w:customStyle="true">
    <w:name w:val="Panel"/>
    <w:basedOn w:val="Normal"/>
    <w:qFormat/>
    <w:pPr>
      <w:pBdr>
        <w:top w:val="single" w:color="F3F6F7" w:sz="2" w:space="9"/>
        <w:left w:val="single" w:color="2D3748" w:sz="24" w:space="11"/>
        <w:bottom w:val="single" w:color="F3F6F7" w:sz="2" w:space="9"/>
        <w:right w:val="single" w:color="F3F6F7" w:sz="2" w:space="11"/>
      </w:pBdr>
      <w:shd w:val="clear" w:color="auto" w:fill="F3F6F7"/>
      <w:spacing w:before="242" w:after="151" w:line="336" w:lineRule="atLeast"/>
      <w:ind w:left="281" w:right="226" w:firstLine="0"/>
      <w:jc w:val="left"/>
    </w:pPr>
    <w:rPr>
      <w:rFonts w:ascii="Source Serif 4" w:hAnsi="Source Serif 4"/>
      <w:b w:val="false"/>
      <w:bCs w:val="false"/>
      <w:i w:val="false"/>
      <w:iCs w:val="false"/>
      <w:caps w:val="false"/>
      <w:color w:val="2B3038"/>
      <w:sz w:val="21"/>
      <w:szCs w:val="21"/>
    </w:rPr>
  </w:style>
  <w:style w:type="paragraph" w:styleId="PanelTop" w:customStyle="true">
    <w:name w:val="Panel Top"/>
    <w:basedOn w:val="Normal"/>
    <w:qFormat/>
    <w:pPr>
      <w:pBdr>
        <w:top w:val="single" w:color="2D3748" w:sz="24" w:space="9"/>
        <w:left w:val="single" w:color="F3F6F7" w:sz="2" w:space="11"/>
        <w:bottom w:val="single" w:color="F3F6F7" w:sz="2" w:space="9"/>
        <w:right w:val="single" w:color="F3F6F7" w:sz="2" w:space="11"/>
      </w:pBdr>
      <w:shd w:val="clear" w:color="auto" w:fill="F3F6F7"/>
      <w:spacing w:before="242" w:after="151" w:line="336" w:lineRule="atLeast"/>
      <w:ind w:left="226" w:right="226" w:firstLine="0"/>
      <w:jc w:val="left"/>
    </w:pPr>
    <w:rPr>
      <w:rFonts w:ascii="Source Serif 4" w:hAnsi="Source Serif 4"/>
      <w:b w:val="false"/>
      <w:bCs w:val="false"/>
      <w:i w:val="false"/>
      <w:iCs w:val="false"/>
      <w:caps w:val="false"/>
      <w:color w:val="2B3038"/>
      <w:sz w:val="21"/>
      <w:szCs w:val="21"/>
    </w:rPr>
  </w:style>
  <w:style w:type="paragraph" w:styleId="Code" w:customStyle="true">
    <w:name w:val="Code"/>
    <w:basedOn w:val="Normal"/>
    <w:qFormat/>
    <w:pPr>
      <w:pBdr>
        <w:top w:val="single" w:color="D3DCDF" w:sz="6" w:space="8"/>
        <w:left w:val="single" w:color="D3DCDF" w:sz="6" w:space="9"/>
        <w:bottom w:val="single" w:color="D3DCDF" w:sz="6" w:space="8"/>
        <w:right w:val="single" w:color="D3DCDF" w:sz="6" w:space="9"/>
      </w:pBdr>
      <w:shd w:val="clear" w:color="auto" w:fill="F3F6F7"/>
      <w:suppressAutoHyphens/>
      <w:spacing w:before="215" w:after="215" w:line="280" w:lineRule="atLeast"/>
      <w:ind w:left="202" w:right="202" w:firstLine="0"/>
      <w:contextualSpacing/>
      <w:jc w:val="left"/>
    </w:pPr>
    <w:rPr>
      <w:rFonts w:ascii="Source Code Pro" w:hAnsi="Source Code Pro"/>
      <w:b w:val="false"/>
      <w:bCs w:val="false"/>
      <w:i w:val="false"/>
      <w:iCs w:val="false"/>
      <w:caps w:val="false"/>
      <w:color w:val="2B3038"/>
      <w:sz w:val="19"/>
      <w:szCs w:val="19"/>
    </w:rPr>
  </w:style>
  <w:style w:type="paragraph" w:styleId="TableText" w:customStyle="true">
    <w:name w:val="Table Text"/>
    <w:basedOn w:val="Normal"/>
    <w:qFormat/>
    <w:pPr>
      <w:spacing w:before="0" w:after="0" w:line="265" w:lineRule="atLeast"/>
      <w:ind w:left="0" w:right="0" w:firstLine="0"/>
      <w:jc w:val="left"/>
    </w:pPr>
    <w:rPr>
      <w:rFonts w:ascii="Source Serif 4" w:hAnsi="Source Serif 4"/>
      <w:b w:val="false"/>
      <w:bCs w:val="false"/>
      <w:i w:val="false"/>
      <w:iCs w:val="false"/>
      <w:caps w:val="false"/>
      <w:color w:val="2B3038"/>
      <w:sz w:val="19"/>
      <w:szCs w:val="19"/>
    </w:rPr>
  </w:style>
  <w:style w:type="paragraph" w:styleId="TableHeading" w:customStyle="true">
    <w:name w:val="Table Heading"/>
    <w:basedOn w:val="Normal"/>
    <w:qFormat/>
    <w:pPr>
      <w:suppressAutoHyphens/>
      <w:spacing w:before="0" w:after="0" w:line="265" w:lineRule="atLeast"/>
      <w:ind w:left="0" w:right="0" w:firstLine="0"/>
      <w:jc w:val="left"/>
    </w:pPr>
    <w:rPr>
      <w:rFonts w:ascii="DM Sans" w:hAnsi="DM Sans"/>
      <w:b w:val="true"/>
      <w:bCs w:val="true"/>
      <w:i w:val="false"/>
      <w:iCs w:val="false"/>
      <w:caps w:val="false"/>
      <w:color w:val="1D232B"/>
      <w:sz w:val="19"/>
      <w:szCs w:val="19"/>
    </w:rPr>
  </w:style>
  <w:style w:type="paragraph" w:styleId="TableRowHeading" w:customStyle="true">
    <w:name w:val="Table Row Heading"/>
    <w:basedOn w:val="Normal"/>
    <w:qFormat/>
    <w:pPr>
      <w:suppressAutoHyphens/>
      <w:spacing w:before="0" w:after="0" w:line="265" w:lineRule="atLeast"/>
      <w:ind w:left="0" w:right="0" w:firstLine="0"/>
      <w:jc w:val="left"/>
    </w:pPr>
    <w:rPr>
      <w:rFonts w:ascii="DM Sans" w:hAnsi="DM Sans"/>
      <w:b w:val="true"/>
      <w:bCs w:val="true"/>
      <w:i w:val="false"/>
      <w:iCs w:val="false"/>
      <w:caps w:val="false"/>
      <w:color w:val="1D232B"/>
      <w:sz w:val="19"/>
      <w:szCs w:val="19"/>
    </w:rPr>
  </w:style>
  <w:style w:type="paragraph" w:styleId="Divider" w:customStyle="true">
    <w:name w:val="Divider"/>
    <w:basedOn w:val="Normal"/>
    <w:qFormat/>
    <w:pPr>
      <w:pBdr>
        <w:bottom w:val="single" w:color="D3DCDF" w:sz="6" w:space="0"/>
      </w:pBdr>
      <w:spacing w:before="248" w:after="399" w:line="20" w:lineRule="exact"/>
      <w:ind w:left="0" w:right="0" w:firstLine="0"/>
      <w:jc w:val="left"/>
    </w:pPr>
    <w:rPr>
      <w:rFonts w:ascii="Source Serif 4" w:hAnsi="Source Serif 4"/>
      <w:b w:val="false"/>
      <w:bCs w:val="false"/>
      <w:i w:val="false"/>
      <w:iCs w:val="false"/>
      <w:caps w:val="false"/>
      <w:color w:val="2B3038"/>
      <w:sz w:val="2"/>
      <w:szCs w:val="2"/>
    </w:rPr>
  </w:style>
  <w:style w:type="paragraph" w:styleId="SceneBreak" w:customStyle="true">
    <w:name w:val="Scene Break"/>
    <w:basedOn w:val="Normal"/>
    <w:qFormat/>
    <w:pPr>
      <w:keepNext/>
      <w:spacing w:before="294" w:after="294" w:line="240" w:lineRule="auto"/>
      <w:ind w:left="0" w:right="0" w:firstLine="0"/>
      <w:jc w:val="center"/>
    </w:pPr>
    <w:rPr>
      <w:rFonts w:ascii="Source Serif 4" w:hAnsi="Source Serif 4"/>
      <w:b w:val="false"/>
      <w:bCs w:val="false"/>
      <w:i w:val="false"/>
      <w:iCs w:val="false"/>
      <w:caps w:val="false"/>
      <w:color w:val="0E7480"/>
      <w:sz w:val="24"/>
      <w:szCs w:val="24"/>
    </w:rPr>
  </w:style>
  <w:style w:type="paragraph" w:styleId="HeadingBar" w:customStyle="true">
    <w:name w:val="Heading Bar"/>
    <w:basedOn w:val="Normal"/>
    <w:qFormat/>
    <w:pPr>
      <w:keepNext/>
      <w:spacing w:before="0" w:after="0" w:line="20" w:lineRule="exact"/>
      <w:ind w:left="0" w:right="0" w:firstLine="0"/>
      <w:jc w:val="left"/>
    </w:pPr>
    <w:rPr>
      <w:rFonts w:ascii="Source Serif 4" w:hAnsi="Source Serif 4"/>
      <w:b w:val="false"/>
      <w:bCs w:val="false"/>
      <w:i w:val="false"/>
      <w:iCs w:val="false"/>
      <w:caps w:val="false"/>
      <w:color w:val="0E7480"/>
      <w:sz w:val="2"/>
      <w:szCs w:val="2"/>
    </w:rPr>
  </w:style>
  <w:style w:type="paragraph" w:styleId="ChapterNumber" w:customStyle="true">
    <w:name w:val="Chapter Number"/>
    <w:basedOn w:val="Normal"/>
    <w:qFormat/>
    <w:pPr>
      <w:keepNext/>
      <w:suppressAutoHyphens/>
      <w:spacing w:before="1296" w:after="101" w:line="288" w:lineRule="auto"/>
      <w:ind w:left="0" w:right="0" w:firstLine="0"/>
      <w:jc w:val="center"/>
    </w:pPr>
    <w:rPr>
      <w:rFonts w:ascii="DM Sans" w:hAnsi="DM Sans"/>
      <w:b w:val="true"/>
      <w:bCs w:val="true"/>
      <w:i w:val="false"/>
      <w:iCs w:val="false"/>
      <w:caps w:val="true"/>
      <w:color w:val="0E7480"/>
      <w:spacing w:val="30"/>
      <w:sz w:val="17"/>
      <w:szCs w:val="17"/>
    </w:rPr>
  </w:style>
  <w:style w:type="paragraph" w:styleId="ChapterTitle" w:customStyle="true">
    <w:name w:val="Chapter Title"/>
    <w:basedOn w:val="Normal"/>
    <w:next w:val="Normal"/>
    <w:qFormat/>
    <w:pPr>
      <w:keepNext/>
      <w:keepLines/>
      <w:suppressAutoHyphens/>
      <w:spacing w:before="0" w:after="336" w:line="602" w:lineRule="atLeast"/>
      <w:ind w:left="0" w:right="0" w:firstLine="0"/>
      <w:jc w:val="center"/>
      <w:outlineLvl w:val="0"/>
    </w:pPr>
    <w:rPr>
      <w:rFonts w:ascii="DM Sans" w:hAnsi="DM Sans"/>
      <w:b w:val="true"/>
      <w:bCs w:val="true"/>
      <w:i w:val="false"/>
      <w:iCs w:val="false"/>
      <w:caps w:val="false"/>
      <w:color w:val="1D232B"/>
      <w:spacing w:val="-13"/>
      <w:sz w:val="52"/>
      <w:szCs w:val="52"/>
    </w:rPr>
  </w:style>
  <w:style w:type="paragraph" w:styleId="Title">
    <w:name w:val="Title"/>
    <w:basedOn w:val="Normal"/>
    <w:qFormat/>
    <w:pPr>
      <w:keepNext/>
      <w:suppressAutoHyphens/>
      <w:spacing w:before="0" w:after="0" w:line="758" w:lineRule="atLeast"/>
      <w:ind w:left="0" w:right="0" w:firstLine="0"/>
      <w:jc w:val="left"/>
    </w:pPr>
    <w:rPr>
      <w:rFonts w:ascii="DM Sans" w:hAnsi="DM Sans"/>
      <w:b w:val="true"/>
      <w:bCs w:val="true"/>
      <w:i w:val="false"/>
      <w:iCs w:val="false"/>
      <w:caps w:val="false"/>
      <w:color w:val="1D232B"/>
      <w:spacing w:val="-17"/>
      <w:sz w:val="70"/>
      <w:szCs w:val="70"/>
    </w:rPr>
  </w:style>
  <w:style w:type="paragraph" w:styleId="Subtitle">
    <w:name w:val="Subtitle"/>
    <w:basedOn w:val="Normal"/>
    <w:qFormat/>
    <w:pPr>
      <w:keepNext/>
      <w:suppressAutoHyphens/>
      <w:spacing w:before="147" w:after="0" w:line="383" w:lineRule="atLeast"/>
      <w:ind w:left="0" w:right="0" w:firstLine="0"/>
      <w:jc w:val="left"/>
    </w:pPr>
    <w:rPr>
      <w:rFonts w:ascii="DM Sans" w:hAnsi="DM Sans"/>
      <w:b w:val="false"/>
      <w:bCs w:val="false"/>
      <w:i w:val="false"/>
      <w:iCs w:val="false"/>
      <w:caps w:val="false"/>
      <w:color w:val="1D232B"/>
      <w:sz w:val="29"/>
      <w:szCs w:val="29"/>
    </w:rPr>
  </w:style>
  <w:style w:type="paragraph" w:styleId="CoverDescription" w:customStyle="true">
    <w:name w:val="Cover Description"/>
    <w:basedOn w:val="Normal"/>
    <w:qFormat/>
    <w:pPr>
      <w:spacing w:before="294" w:after="0" w:line="315" w:lineRule="atLeast"/>
      <w:ind w:left="0" w:right="0" w:firstLine="0"/>
      <w:jc w:val="left"/>
    </w:pPr>
    <w:rPr>
      <w:rFonts w:ascii="Source Serif 4" w:hAnsi="Source Serif 4"/>
      <w:b w:val="false"/>
      <w:bCs w:val="false"/>
      <w:i w:val="false"/>
      <w:iCs w:val="false"/>
      <w:caps w:val="false"/>
      <w:color w:val="5B636E"/>
      <w:sz w:val="21"/>
      <w:szCs w:val="21"/>
    </w:rPr>
  </w:style>
  <w:style w:type="paragraph" w:styleId="CoverMeta" w:customStyle="true">
    <w:name w:val="Cover Meta"/>
    <w:basedOn w:val="Normal"/>
    <w:qFormat/>
    <w:pPr>
      <w:spacing w:before="147" w:after="0" w:line="262" w:lineRule="atLeast"/>
      <w:ind w:left="0" w:right="0" w:firstLine="0"/>
      <w:jc w:val="left"/>
    </w:pPr>
    <w:rPr>
      <w:rFonts w:ascii="DM Sans" w:hAnsi="DM Sans"/>
      <w:b w:val="false"/>
      <w:bCs w:val="false"/>
      <w:i w:val="false"/>
      <w:iCs w:val="false"/>
      <w:caps w:val="false"/>
      <w:color w:val="5B636E"/>
      <w:sz w:val="19"/>
      <w:szCs w:val="19"/>
    </w:rPr>
  </w:style>
  <w:style w:type="paragraph" w:styleId="CoverRule" w:customStyle="true">
    <w:name w:val="Cover Rule"/>
    <w:basedOn w:val="Normal"/>
    <w:qFormat/>
    <w:pPr>
      <w:keepNext/>
      <w:spacing w:before="0" w:after="0" w:line="20" w:lineRule="exact"/>
      <w:ind w:left="0" w:right="0" w:firstLine="0"/>
      <w:jc w:val="left"/>
    </w:pPr>
    <w:rPr>
      <w:rFonts w:ascii="Source Serif 4" w:hAnsi="Source Serif 4"/>
      <w:b w:val="false"/>
      <w:bCs w:val="false"/>
      <w:i w:val="false"/>
      <w:iCs w:val="false"/>
      <w:caps w:val="false"/>
      <w:color w:val="0E7480"/>
      <w:sz w:val="2"/>
      <w:szCs w:val="2"/>
    </w:rPr>
  </w:style>
  <w:style w:type="paragraph" w:styleId="Header">
    <w:name w:val="Header"/>
    <w:basedOn w:val="Normal"/>
    <w:qFormat/>
    <w:pPr>
      <w:suppressAutoHyphens/>
      <w:spacing w:before="0" w:after="0" w:line="288" w:lineRule="auto"/>
      <w:ind w:left="0" w:right="0" w:firstLine="0"/>
      <w:jc w:val="left"/>
    </w:pPr>
    <w:rPr>
      <w:rFonts w:ascii="DM Sans" w:hAnsi="DM Sans"/>
      <w:b w:val="false"/>
      <w:bCs w:val="false"/>
      <w:i w:val="false"/>
      <w:iCs w:val="false"/>
      <w:caps w:val="false"/>
      <w:color w:val="5B636E"/>
      <w:sz w:val="18"/>
      <w:szCs w:val="18"/>
    </w:rPr>
  </w:style>
  <w:style w:type="paragraph" w:styleId="Footer">
    <w:name w:val="Footer"/>
    <w:basedOn w:val="Normal"/>
    <w:qFormat/>
    <w:pPr>
      <w:suppressAutoHyphens/>
      <w:spacing w:before="0" w:after="0" w:line="288" w:lineRule="auto"/>
      <w:ind w:left="0" w:right="0" w:firstLine="0"/>
      <w:jc w:val="left"/>
    </w:pPr>
    <w:rPr>
      <w:rFonts w:ascii="DM Sans" w:hAnsi="DM Sans"/>
      <w:b w:val="false"/>
      <w:bCs w:val="false"/>
      <w:i w:val="false"/>
      <w:iCs w:val="false"/>
      <w:caps w:val="false"/>
      <w:color w:val="5B636E"/>
      <w:sz w:val="18"/>
      <w:szCs w:val="18"/>
    </w:rPr>
  </w:style>
  <w:style w:type="character" w:styleId="ContentsNumber" w:customStyle="true">
    <w:name w:val="Contents Number"/>
    <w:basedOn w:val="DefaultParagraphFont"/>
    <w:uiPriority w:val="99"/>
    <w:unhideWhenUsed/>
    <w:rPr>
      <w:rFonts w:ascii="DM Sans" w:hAnsi="DM Sans"/>
      <w:color w:val="0E7480"/>
    </w:rPr>
  </w:style>
  <w:style w:type="character" w:styleId="InlineCode" w:customStyle="true">
    <w:name w:val="Inline Code"/>
    <w:basedOn w:val="DefaultParagraphFont"/>
    <w:uiPriority w:val="99"/>
    <w:unhideWhenUsed/>
    <w:rPr>
      <w:rFonts w:ascii="Source Code Pro" w:hAnsi="Source Code Pro"/>
      <w:color w:val="2B3038"/>
      <w:sz w:val="18"/>
      <w:szCs w:val="18"/>
      <w:shd w:val="clear" w:color="auto" w:fill="F3F6F7"/>
    </w:rPr>
  </w:style>
  <w:style w:type="character" w:styleId="Hyperlink">
    <w:name w:val="Hyperlink"/>
    <w:basedOn w:val="DefaultParagraphFont"/>
    <w:uiPriority w:val="99"/>
    <w:unhideWhenUsed/>
    <w:rPr>
      <w:color w:val="0B6671"/>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4a5f9f8cfce14c1d" /><Relationship Type="http://schemas.openxmlformats.org/officeDocument/2006/relationships/footer" Target="/word/footer1.xml" Id="R218d2bef05754505" /><Relationship Type="http://schemas.openxmlformats.org/officeDocument/2006/relationships/numbering" Target="/word/numbering.xml" Id="R1c7f2c6009eb491d" /><Relationship Type="http://schemas.openxmlformats.org/officeDocument/2006/relationships/fontTable" Target="/word/fontTable.xml" Id="R60ce555558fc414e" /><Relationship Type="http://schemas.openxmlformats.org/officeDocument/2006/relationships/settings" Target="/word/settings.xml" Id="R175b112090b548bc" /></Relationships>
</file>